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8441"/>
      <w:bookmarkStart w:id="3" w:name="_Toc15377193"/>
      <w:bookmarkStart w:id="4" w:name="_Toc15377425"/>
      <w:bookmarkStart w:id="5" w:name="_Toc15306267"/>
      <w:bookmarkStart w:id="64" w:name="_GoBack"/>
      <w:bookmarkEnd w:id="64"/>
    </w:p>
    <w:p>
      <w:pPr>
        <w:spacing w:line="600" w:lineRule="exact"/>
        <w:outlineLvl w:val="0"/>
        <w:rPr>
          <w:rFonts w:ascii="方正小标宋简体" w:hAnsi="宋体" w:eastAsia="方正小标宋简体"/>
          <w:sz w:val="72"/>
          <w:szCs w:val="72"/>
        </w:rPr>
      </w:pPr>
    </w:p>
    <w:p>
      <w:pPr>
        <w:pStyle w:val="6"/>
        <w:spacing w:before="93"/>
      </w:pPr>
    </w:p>
    <w:p>
      <w:pPr>
        <w:pStyle w:val="6"/>
        <w:spacing w:before="93"/>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p>
    <w:p>
      <w:pPr>
        <w:pStyle w:val="6"/>
        <w:spacing w:before="93"/>
        <w:jc w:val="center"/>
        <w:rPr>
          <w:rFonts w:hint="eastAsia"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lang w:val="en-US" w:eastAsia="zh-CN"/>
        </w:rPr>
        <w:t>中共邻水县纪委</w:t>
      </w:r>
    </w:p>
    <w:p>
      <w:pPr>
        <w:pStyle w:val="6"/>
        <w:spacing w:before="93"/>
        <w:jc w:val="center"/>
      </w:pPr>
      <w:r>
        <w:rPr>
          <w:rFonts w:hint="eastAsia" w:ascii="方正小标宋简体" w:hAnsi="宋体" w:eastAsia="方正小标宋简体"/>
          <w:color w:val="000000"/>
          <w:sz w:val="72"/>
          <w:szCs w:val="72"/>
        </w:rPr>
        <w:t>部门决算编制说明</w:t>
      </w:r>
    </w:p>
    <w:p>
      <w:pPr>
        <w:pStyle w:val="6"/>
        <w:spacing w:before="93"/>
        <w:jc w:val="center"/>
      </w:pPr>
    </w:p>
    <w:bookmarkEnd w:id="0"/>
    <w:bookmarkEnd w:id="1"/>
    <w:bookmarkEnd w:id="2"/>
    <w:bookmarkEnd w:id="3"/>
    <w:bookmarkEnd w:id="4"/>
    <w:bookmarkEnd w:id="5"/>
    <w:p>
      <w:pPr>
        <w:pStyle w:val="6"/>
        <w:spacing w:before="93"/>
        <w:rPr>
          <w:sz w:val="32"/>
        </w:rPr>
      </w:pPr>
    </w:p>
    <w:p>
      <w:pPr>
        <w:pStyle w:val="6"/>
        <w:spacing w:before="93"/>
        <w:rPr>
          <w:sz w:val="32"/>
        </w:rPr>
      </w:pPr>
    </w:p>
    <w:p>
      <w:pPr>
        <w:pStyle w:val="6"/>
        <w:spacing w:before="93"/>
        <w:rPr>
          <w:sz w:val="32"/>
        </w:rPr>
      </w:pPr>
    </w:p>
    <w:p>
      <w:pPr>
        <w:pStyle w:val="6"/>
        <w:spacing w:before="93"/>
        <w:rPr>
          <w:sz w:val="32"/>
        </w:rPr>
      </w:pPr>
    </w:p>
    <w:p>
      <w:pPr>
        <w:pStyle w:val="6"/>
        <w:spacing w:before="93"/>
        <w:rPr>
          <w:sz w:val="32"/>
        </w:rPr>
      </w:pPr>
    </w:p>
    <w:p>
      <w:pPr>
        <w:pStyle w:val="6"/>
        <w:spacing w:before="93"/>
        <w:rPr>
          <w:sz w:val="32"/>
        </w:rPr>
      </w:pPr>
    </w:p>
    <w:p>
      <w:pPr>
        <w:pStyle w:val="6"/>
        <w:spacing w:before="93"/>
        <w:rPr>
          <w:sz w:val="32"/>
        </w:rPr>
      </w:pPr>
    </w:p>
    <w:p>
      <w:pPr>
        <w:pStyle w:val="6"/>
        <w:spacing w:before="93"/>
        <w:rPr>
          <w:sz w:val="32"/>
        </w:rPr>
      </w:pPr>
    </w:p>
    <w:p>
      <w:pPr>
        <w:pStyle w:val="6"/>
        <w:spacing w:before="93"/>
        <w:rPr>
          <w:sz w:val="32"/>
        </w:rPr>
      </w:pPr>
    </w:p>
    <w:p>
      <w:pPr>
        <w:pStyle w:val="6"/>
        <w:spacing w:before="93"/>
      </w:pPr>
    </w:p>
    <w:p>
      <w:pPr>
        <w:widowControl/>
        <w:ind w:firstLine="960" w:firstLineChars="200"/>
        <w:jc w:val="center"/>
        <w:rPr>
          <w:rFonts w:ascii="黑体" w:hAnsi="黑体" w:eastAsia="黑体"/>
          <w:sz w:val="48"/>
          <w:szCs w:val="48"/>
        </w:rPr>
      </w:pPr>
      <w:r>
        <w:rPr>
          <w:rFonts w:hint="eastAsia" w:ascii="黑体" w:hAnsi="黑体" w:eastAsia="黑体"/>
          <w:sz w:val="48"/>
          <w:szCs w:val="48"/>
        </w:rPr>
        <w:t>目录</w:t>
      </w:r>
    </w:p>
    <w:p>
      <w:pPr>
        <w:pStyle w:val="10"/>
      </w:pPr>
      <w:r>
        <w:rPr>
          <w:rFonts w:hint="eastAsia"/>
          <w:lang w:val="en-US" w:eastAsia="zh-CN"/>
        </w:rPr>
        <w:t xml:space="preserve">    </w:t>
      </w:r>
      <w:r>
        <w:rPr>
          <w:rFonts w:hint="eastAsia"/>
        </w:rPr>
        <w:t>公开时间：2022年8月</w:t>
      </w:r>
      <w:r>
        <w:rPr>
          <w:rFonts w:hint="eastAsia"/>
          <w:lang w:val="en-US" w:eastAsia="zh-CN"/>
        </w:rPr>
        <w:t>16</w:t>
      </w:r>
      <w:r>
        <w:rPr>
          <w:rFonts w:hint="eastAsia"/>
        </w:rPr>
        <w:t>日</w:t>
      </w:r>
    </w:p>
    <w:p/>
    <w:p>
      <w:pPr>
        <w:pStyle w:val="10"/>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440" w:lineRule="exact"/>
        <w:jc w:val="left"/>
        <w:textAlignment w:val="auto"/>
        <w:rPr>
          <w:rFonts w:cstheme="minorBidi"/>
          <w:sz w:val="24"/>
          <w:szCs w:val="24"/>
        </w:rPr>
      </w:pPr>
      <w:bookmarkStart w:id="6" w:name="_Toc15377196"/>
      <w:bookmarkStart w:id="7" w:name="_Toc15396599"/>
      <w:r>
        <w:rPr>
          <w:rFonts w:hint="eastAsia"/>
          <w:sz w:val="24"/>
        </w:rPr>
        <w:t>第一部分</w:t>
      </w:r>
      <w:r>
        <w:rPr>
          <w:sz w:val="24"/>
        </w:rPr>
        <w:t xml:space="preserve"> </w:t>
      </w:r>
      <w:r>
        <w:rPr>
          <w:rFonts w:hint="eastAsia"/>
          <w:sz w:val="24"/>
        </w:rPr>
        <w:t>部门概况</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 xml:space="preserve"> </w:t>
      </w:r>
      <w:r>
        <w:rPr>
          <w:rFonts w:ascii="仿宋" w:hAnsi="仿宋" w:eastAsia="仿宋"/>
          <w:sz w:val="24"/>
        </w:rPr>
        <w:tab/>
      </w:r>
      <w:r>
        <w:rPr>
          <w:rFonts w:hint="eastAsia" w:ascii="仿宋" w:hAnsi="仿宋" w:eastAsia="仿宋"/>
          <w:sz w:val="24"/>
          <w:lang w:val="en-US" w:eastAsia="zh-CN"/>
        </w:rPr>
        <w:t>1</w:t>
      </w:r>
      <w:r>
        <w:rPr>
          <w:rFonts w:hint="eastAsia"/>
          <w:sz w:val="24"/>
          <w:lang w:val="en-US" w:eastAsia="zh-CN"/>
        </w:rPr>
        <w:t xml:space="preserve">                        </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cstheme="minorBidi"/>
          <w:sz w:val="24"/>
          <w:lang w:val="en-US" w:eastAsia="zh-CN"/>
        </w:rPr>
      </w:pPr>
      <w:r>
        <w:rPr>
          <w:rFonts w:hint="eastAsia"/>
          <w:sz w:val="24"/>
        </w:rPr>
        <w:t>二、机构设置</w:t>
      </w:r>
      <w:r>
        <w:rPr>
          <w:rFonts w:ascii="仿宋" w:hAnsi="仿宋" w:eastAsia="仿宋"/>
          <w:sz w:val="24"/>
        </w:rPr>
        <w:tab/>
      </w:r>
      <w:r>
        <w:rPr>
          <w:rFonts w:hint="eastAsia" w:ascii="仿宋" w:hAnsi="仿宋" w:eastAsia="仿宋"/>
          <w:sz w:val="24"/>
          <w:lang w:val="en-US" w:eastAsia="zh-CN"/>
        </w:rPr>
        <w:t>8</w:t>
      </w:r>
    </w:p>
    <w:p>
      <w:pPr>
        <w:pStyle w:val="10"/>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440" w:lineRule="exact"/>
        <w:jc w:val="left"/>
        <w:textAlignment w:val="auto"/>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cstheme="minorBidi"/>
          <w:sz w:val="24"/>
          <w:lang w:val="en-US" w:eastAsia="zh-CN"/>
        </w:rPr>
      </w:pPr>
      <w:r>
        <w:rPr>
          <w:rFonts w:hint="eastAsia"/>
          <w:sz w:val="24"/>
        </w:rPr>
        <w:t>一、收入支出决算总体情况说明</w:t>
      </w:r>
      <w:r>
        <w:rPr>
          <w:rFonts w:ascii="仿宋" w:hAnsi="仿宋" w:eastAsia="仿宋"/>
          <w:sz w:val="24"/>
        </w:rPr>
        <w:tab/>
      </w:r>
      <w:r>
        <w:rPr>
          <w:rFonts w:hint="eastAsia" w:ascii="仿宋" w:hAnsi="仿宋" w:eastAsia="仿宋"/>
          <w:sz w:val="24"/>
          <w:lang w:val="en-US" w:eastAsia="zh-CN"/>
        </w:rPr>
        <w:t>9</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cstheme="minorBidi"/>
          <w:sz w:val="24"/>
          <w:lang w:val="en-US" w:eastAsia="zh-CN"/>
        </w:rPr>
      </w:pPr>
      <w:r>
        <w:rPr>
          <w:rFonts w:hint="eastAsia"/>
          <w:sz w:val="24"/>
        </w:rPr>
        <w:t>二、收入决算情况说明</w:t>
      </w:r>
      <w:r>
        <w:rPr>
          <w:rFonts w:ascii="仿宋" w:hAnsi="仿宋" w:eastAsia="仿宋"/>
          <w:sz w:val="24"/>
        </w:rPr>
        <w:tab/>
      </w:r>
      <w:r>
        <w:rPr>
          <w:rFonts w:hint="eastAsia" w:ascii="仿宋" w:hAnsi="仿宋" w:eastAsia="仿宋"/>
          <w:sz w:val="24"/>
          <w:lang w:val="en-US" w:eastAsia="zh-CN"/>
        </w:rPr>
        <w:t>9</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sz w:val="24"/>
        </w:rPr>
        <w:t>三、支出决算情况说明</w:t>
      </w:r>
      <w:r>
        <w:rPr>
          <w:rFonts w:ascii="仿宋" w:hAnsi="仿宋" w:eastAsia="仿宋"/>
          <w:sz w:val="24"/>
        </w:rPr>
        <w:tab/>
      </w:r>
      <w:r>
        <w:rPr>
          <w:rFonts w:hint="eastAsia" w:ascii="仿宋" w:hAnsi="仿宋" w:eastAsia="仿宋"/>
          <w:sz w:val="24"/>
          <w:lang w:val="en-US" w:eastAsia="zh-CN"/>
        </w:rPr>
        <w:t>10</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sz w:val="24"/>
        </w:rPr>
        <w:t>四、财政拨款收入支出决算总体情况说明</w:t>
      </w:r>
      <w:r>
        <w:rPr>
          <w:rFonts w:ascii="仿宋" w:hAnsi="仿宋" w:eastAsia="仿宋"/>
          <w:sz w:val="24"/>
        </w:rPr>
        <w:tab/>
      </w:r>
      <w:r>
        <w:rPr>
          <w:rFonts w:hint="eastAsia" w:ascii="仿宋" w:hAnsi="仿宋" w:eastAsia="仿宋"/>
          <w:sz w:val="24"/>
          <w:lang w:val="en-US" w:eastAsia="zh-CN"/>
        </w:rPr>
        <w:t>11</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sz w:val="24"/>
        </w:rPr>
        <w:t>五、一般公共预算财政拨款支出决算情况说明</w:t>
      </w:r>
      <w:r>
        <w:rPr>
          <w:rFonts w:ascii="仿宋" w:hAnsi="仿宋" w:eastAsia="仿宋"/>
          <w:sz w:val="24"/>
        </w:rPr>
        <w:tab/>
      </w:r>
      <w:r>
        <w:rPr>
          <w:rFonts w:hint="eastAsia" w:ascii="仿宋" w:hAnsi="仿宋" w:eastAsia="仿宋"/>
          <w:sz w:val="24"/>
          <w:lang w:val="en-US" w:eastAsia="zh-CN"/>
        </w:rPr>
        <w:t>11</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eastAsia="仿宋"/>
          <w:sz w:val="24"/>
          <w:lang w:val="en-US" w:eastAsia="zh-CN"/>
        </w:rPr>
      </w:pPr>
      <w:r>
        <w:rPr>
          <w:rFonts w:hint="eastAsia"/>
          <w:sz w:val="24"/>
        </w:rPr>
        <w:t>六、一般公共预算财政拨款基本支出决算情况说明</w:t>
      </w:r>
      <w:r>
        <w:rPr>
          <w:rFonts w:ascii="仿宋" w:hAnsi="仿宋" w:eastAsia="仿宋"/>
          <w:sz w:val="24"/>
        </w:rPr>
        <w:tab/>
      </w:r>
      <w:r>
        <w:rPr>
          <w:rFonts w:hint="eastAsia" w:ascii="仿宋" w:hAnsi="仿宋" w:eastAsia="仿宋"/>
          <w:sz w:val="24"/>
          <w:lang w:val="en-US" w:eastAsia="zh-CN"/>
        </w:rPr>
        <w:t>14</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eastAsia="仿宋"/>
          <w:lang w:val="en-US" w:eastAsia="zh-CN"/>
        </w:rPr>
      </w:pPr>
      <w:r>
        <w:rPr>
          <w:rFonts w:hint="eastAsia"/>
          <w:sz w:val="24"/>
          <w:lang w:eastAsia="zh-CN"/>
        </w:rPr>
        <w:t>七</w:t>
      </w:r>
      <w:r>
        <w:rPr>
          <w:rFonts w:hint="eastAsia"/>
          <w:sz w:val="24"/>
        </w:rPr>
        <w:t>、一般公共预算财政拨款</w:t>
      </w:r>
      <w:r>
        <w:rPr>
          <w:rFonts w:hint="eastAsia"/>
          <w:sz w:val="24"/>
          <w:lang w:eastAsia="zh-CN"/>
        </w:rPr>
        <w:t>项目</w:t>
      </w:r>
      <w:r>
        <w:rPr>
          <w:rFonts w:hint="eastAsia"/>
          <w:sz w:val="24"/>
        </w:rPr>
        <w:t>支出决算情况说明</w:t>
      </w:r>
      <w:r>
        <w:rPr>
          <w:rFonts w:ascii="仿宋" w:hAnsi="仿宋" w:eastAsia="仿宋"/>
          <w:sz w:val="24"/>
        </w:rPr>
        <w:tab/>
      </w:r>
      <w:r>
        <w:rPr>
          <w:rFonts w:hint="eastAsia" w:ascii="仿宋" w:hAnsi="仿宋" w:eastAsia="仿宋"/>
          <w:sz w:val="24"/>
          <w:lang w:val="en-US" w:eastAsia="zh-CN"/>
        </w:rPr>
        <w:t>15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sz w:val="24"/>
          <w:lang w:eastAsia="zh-CN"/>
        </w:rPr>
        <w:t>八</w:t>
      </w:r>
      <w:r>
        <w:rPr>
          <w:rFonts w:hint="eastAsia"/>
          <w:sz w:val="24"/>
        </w:rPr>
        <w:t>、</w:t>
      </w:r>
      <w:r>
        <w:rPr>
          <w:sz w:val="24"/>
        </w:rPr>
        <w:t>“</w:t>
      </w:r>
      <w:r>
        <w:rPr>
          <w:rFonts w:hint="eastAsia"/>
          <w:sz w:val="24"/>
        </w:rPr>
        <w:t>三公”经费财政拨款支出决算情况说明</w:t>
      </w:r>
      <w:r>
        <w:rPr>
          <w:rFonts w:ascii="仿宋" w:hAnsi="仿宋" w:eastAsia="仿宋"/>
          <w:sz w:val="24"/>
        </w:rPr>
        <w:tab/>
      </w:r>
      <w:r>
        <w:rPr>
          <w:rFonts w:hint="eastAsia" w:ascii="仿宋" w:hAnsi="仿宋" w:eastAsia="仿宋"/>
          <w:sz w:val="24"/>
          <w:lang w:val="en-US" w:eastAsia="zh-CN"/>
        </w:rPr>
        <w:t>15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sz w:val="24"/>
          <w:lang w:eastAsia="zh-CN"/>
        </w:rPr>
        <w:t>九</w:t>
      </w:r>
      <w:r>
        <w:rPr>
          <w:rFonts w:hint="eastAsia"/>
          <w:sz w:val="24"/>
        </w:rPr>
        <w:t>、政府性基金预算支出决算情况说明</w:t>
      </w:r>
      <w:r>
        <w:rPr>
          <w:rFonts w:ascii="仿宋" w:hAnsi="仿宋" w:eastAsia="仿宋"/>
          <w:sz w:val="24"/>
        </w:rPr>
        <w:tab/>
      </w:r>
      <w:r>
        <w:rPr>
          <w:rFonts w:hint="eastAsia" w:ascii="仿宋" w:hAnsi="仿宋" w:eastAsia="仿宋"/>
          <w:sz w:val="24"/>
          <w:lang w:val="en-US" w:eastAsia="zh-CN"/>
        </w:rPr>
        <w:t>17</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ind w:leftChars="0"/>
        <w:jc w:val="left"/>
        <w:textAlignment w:val="auto"/>
        <w:rPr>
          <w:rFonts w:hint="default" w:ascii="仿宋" w:hAnsi="仿宋" w:eastAsia="仿宋"/>
          <w:sz w:val="24"/>
          <w:lang w:val="en-US" w:eastAsia="zh-CN"/>
        </w:rPr>
      </w:pPr>
      <w:r>
        <w:rPr>
          <w:rFonts w:hint="eastAsia" w:ascii="仿宋" w:hAnsi="仿宋" w:eastAsia="仿宋"/>
          <w:sz w:val="24"/>
          <w:lang w:eastAsia="zh-CN"/>
        </w:rPr>
        <w:t>十</w:t>
      </w:r>
      <w:r>
        <w:rPr>
          <w:rFonts w:hint="eastAsia" w:ascii="仿宋" w:hAnsi="仿宋" w:eastAsia="仿宋"/>
          <w:sz w:val="24"/>
        </w:rPr>
        <w:t>、</w:t>
      </w:r>
      <w:r>
        <w:rPr>
          <w:sz w:val="24"/>
        </w:rPr>
        <w:t xml:space="preserve"> 国</w:t>
      </w:r>
      <w:r>
        <w:rPr>
          <w:rFonts w:hint="eastAsia"/>
          <w:sz w:val="24"/>
        </w:rPr>
        <w:t>有资本经营预算支出决算情况说明</w:t>
      </w:r>
      <w:r>
        <w:rPr>
          <w:rFonts w:ascii="仿宋" w:hAnsi="仿宋" w:eastAsia="仿宋"/>
          <w:sz w:val="24"/>
        </w:rPr>
        <w:tab/>
      </w:r>
      <w:r>
        <w:rPr>
          <w:rFonts w:hint="eastAsia" w:ascii="仿宋" w:hAnsi="仿宋" w:eastAsia="仿宋"/>
          <w:sz w:val="24"/>
          <w:lang w:val="en-US" w:eastAsia="zh-CN"/>
        </w:rPr>
        <w:t>17</w:t>
      </w:r>
    </w:p>
    <w:p>
      <w:pPr>
        <w:keepNext w:val="0"/>
        <w:keepLines w:val="0"/>
        <w:pageBreakBefore w:val="0"/>
        <w:widowControl w:val="0"/>
        <w:tabs>
          <w:tab w:val="center" w:leader="dot" w:pos="7980"/>
          <w:tab w:val="right" w:leader="dot" w:pos="8296"/>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仿宋" w:hAnsi="仿宋" w:eastAsia="仿宋" w:cstheme="minorBidi"/>
          <w:sz w:val="24"/>
          <w:lang w:val="en-US" w:eastAsia="zh-CN"/>
        </w:rPr>
      </w:pPr>
      <w:r>
        <w:rPr>
          <w:rStyle w:val="15"/>
          <w:rFonts w:hint="eastAsia" w:ascii="仿宋" w:hAnsi="仿宋" w:eastAsia="仿宋"/>
          <w:color w:val="000000" w:themeColor="text1"/>
          <w:sz w:val="24"/>
          <w:u w:val="none"/>
          <w:lang w:eastAsia="zh-CN"/>
          <w14:textFill>
            <w14:solidFill>
              <w14:schemeClr w14:val="tx1"/>
            </w14:solidFill>
          </w14:textFill>
        </w:rPr>
        <w:t>十一</w:t>
      </w:r>
      <w:r>
        <w:rPr>
          <w:rStyle w:val="15"/>
          <w:rFonts w:hint="eastAsia" w:ascii="仿宋" w:hAnsi="仿宋" w:eastAsia="仿宋"/>
          <w:color w:val="000000" w:themeColor="text1"/>
          <w:sz w:val="24"/>
          <w:u w:val="none"/>
          <w14:textFill>
            <w14:solidFill>
              <w14:schemeClr w14:val="tx1"/>
            </w14:solidFill>
          </w14:textFill>
        </w:rPr>
        <w:t>、</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17</w:t>
      </w:r>
    </w:p>
    <w:p>
      <w:pPr>
        <w:pStyle w:val="10"/>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sz w:val="24"/>
        </w:rPr>
        <w:tab/>
      </w:r>
      <w:r>
        <w:rPr>
          <w:rFonts w:hint="eastAsia"/>
          <w:sz w:val="24"/>
          <w:lang w:val="en-US" w:eastAsia="zh-CN"/>
        </w:rPr>
        <w:t>22</w:t>
      </w:r>
    </w:p>
    <w:p>
      <w:pPr>
        <w:pStyle w:val="10"/>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440" w:lineRule="exact"/>
        <w:jc w:val="left"/>
        <w:textAlignment w:val="auto"/>
        <w:rPr>
          <w:rFonts w:cstheme="minorBidi"/>
          <w:sz w:val="24"/>
          <w:szCs w:val="24"/>
        </w:rPr>
      </w:pPr>
      <w:r>
        <w:rPr>
          <w:rFonts w:hint="eastAsia"/>
          <w:sz w:val="24"/>
        </w:rPr>
        <w:t>第四部分</w:t>
      </w:r>
      <w:r>
        <w:rPr>
          <w:sz w:val="24"/>
        </w:rPr>
        <w:t xml:space="preserve"> </w:t>
      </w:r>
      <w:r>
        <w:rPr>
          <w:rFonts w:hint="eastAsia"/>
          <w:sz w:val="24"/>
        </w:rPr>
        <w:t>附件</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sz w:val="24"/>
        </w:rPr>
        <w:t>附件</w:t>
      </w:r>
      <w:r>
        <w:rPr>
          <w:sz w:val="24"/>
        </w:rPr>
        <w:t>1</w:t>
      </w:r>
      <w:r>
        <w:rPr>
          <w:rFonts w:ascii="仿宋" w:hAnsi="仿宋" w:eastAsia="仿宋"/>
          <w:sz w:val="24"/>
        </w:rPr>
        <w:tab/>
      </w:r>
      <w:r>
        <w:rPr>
          <w:rFonts w:hint="eastAsia" w:ascii="仿宋" w:hAnsi="仿宋" w:eastAsia="仿宋"/>
          <w:sz w:val="24"/>
          <w:lang w:val="en-US" w:eastAsia="zh-CN"/>
        </w:rPr>
        <w:t>25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sz w:val="24"/>
          <w:lang w:val="en-US" w:eastAsia="zh-CN"/>
        </w:rPr>
      </w:pPr>
      <w:r>
        <w:rPr>
          <w:rFonts w:hint="eastAsia"/>
          <w:sz w:val="24"/>
        </w:rPr>
        <w:t>附件</w:t>
      </w:r>
      <w:r>
        <w:rPr>
          <w:sz w:val="24"/>
        </w:rPr>
        <w:t>2</w:t>
      </w:r>
      <w:r>
        <w:rPr>
          <w:rFonts w:ascii="仿宋" w:hAnsi="仿宋" w:eastAsia="仿宋"/>
          <w:sz w:val="24"/>
        </w:rPr>
        <w:tab/>
      </w:r>
      <w:r>
        <w:rPr>
          <w:rFonts w:hint="eastAsia" w:ascii="仿宋" w:hAnsi="仿宋" w:eastAsia="仿宋"/>
          <w:sz w:val="24"/>
          <w:lang w:val="en-US" w:eastAsia="zh-CN"/>
        </w:rPr>
        <w:t>31</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lang w:val="en-US" w:eastAsia="zh-CN"/>
        </w:rPr>
      </w:pPr>
      <w:r>
        <w:rPr>
          <w:rFonts w:hint="eastAsia"/>
          <w:sz w:val="24"/>
        </w:rPr>
        <w:t>附件</w:t>
      </w:r>
      <w:r>
        <w:rPr>
          <w:rFonts w:hint="eastAsia"/>
          <w:sz w:val="24"/>
          <w:lang w:val="en-US" w:eastAsia="zh-CN"/>
        </w:rPr>
        <w:t>3</w:t>
      </w:r>
      <w:r>
        <w:rPr>
          <w:rFonts w:ascii="仿宋" w:hAnsi="仿宋" w:eastAsia="仿宋"/>
          <w:sz w:val="24"/>
        </w:rPr>
        <w:tab/>
      </w:r>
      <w:r>
        <w:rPr>
          <w:rFonts w:hint="eastAsia" w:ascii="仿宋" w:hAnsi="仿宋" w:eastAsia="仿宋"/>
          <w:sz w:val="24"/>
          <w:lang w:val="en-US" w:eastAsia="zh-CN"/>
        </w:rPr>
        <w:t>34</w:t>
      </w:r>
    </w:p>
    <w:p>
      <w:pPr>
        <w:pStyle w:val="10"/>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440" w:lineRule="exact"/>
        <w:jc w:val="left"/>
        <w:textAlignment w:val="auto"/>
        <w:rPr>
          <w:rFonts w:cstheme="minorBidi"/>
          <w:sz w:val="24"/>
          <w:szCs w:val="24"/>
        </w:rPr>
      </w:pPr>
      <w:r>
        <w:rPr>
          <w:rFonts w:hint="eastAsia"/>
          <w:sz w:val="24"/>
        </w:rPr>
        <w:t>第五部分</w:t>
      </w:r>
      <w:r>
        <w:rPr>
          <w:sz w:val="24"/>
        </w:rPr>
        <w:t xml:space="preserve"> </w:t>
      </w:r>
      <w:r>
        <w:rPr>
          <w:rFonts w:hint="eastAsia"/>
          <w:sz w:val="24"/>
        </w:rPr>
        <w:t>附表</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一、</w:t>
      </w:r>
      <w:r>
        <w:rPr>
          <w:rFonts w:hint="eastAsia"/>
          <w:sz w:val="24"/>
        </w:rPr>
        <w:t>收入支出决算总表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四、</w:t>
      </w:r>
      <w:r>
        <w:rPr>
          <w:rFonts w:hint="eastAsia"/>
          <w:sz w:val="24"/>
        </w:rPr>
        <w:t>财政拨款收入支出决算总表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sz w:val="24"/>
          <w:lang w:val="en-US" w:eastAsia="zh-CN"/>
        </w:rPr>
      </w:pPr>
      <w:r>
        <w:rPr>
          <w:rFonts w:hint="eastAsia" w:ascii="仿宋" w:hAnsi="仿宋" w:eastAsia="仿宋"/>
          <w:sz w:val="24"/>
        </w:rPr>
        <w:t>五、</w:t>
      </w:r>
      <w:r>
        <w:rPr>
          <w:rFonts w:hint="eastAsia"/>
          <w:sz w:val="24"/>
        </w:rPr>
        <w:t>财政拨款支出决算明细表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七、</w:t>
      </w:r>
      <w:r>
        <w:rPr>
          <w:rFonts w:hint="eastAsia"/>
          <w:sz w:val="24"/>
        </w:rPr>
        <w:t>一般公共预算财政拨款支出决算明细表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sz w:val="24"/>
          <w:lang w:val="en-US" w:eastAsia="zh-CN"/>
        </w:rPr>
      </w:pPr>
      <w:r>
        <w:rPr>
          <w:rFonts w:hint="eastAsia" w:ascii="仿宋" w:hAnsi="仿宋" w:eastAsia="仿宋"/>
          <w:sz w:val="24"/>
        </w:rPr>
        <w:t>十三、</w:t>
      </w:r>
      <w:r>
        <w:rPr>
          <w:rFonts w:hint="eastAsia"/>
          <w:sz w:val="24"/>
        </w:rPr>
        <w:t>国有资本经营预算财政拨款收入支出决算表</w:t>
      </w:r>
      <w:r>
        <w:rPr>
          <w:rFonts w:ascii="仿宋" w:hAnsi="仿宋" w:eastAsia="仿宋"/>
          <w:sz w:val="24"/>
        </w:rPr>
        <w:tab/>
      </w:r>
      <w:r>
        <w:rPr>
          <w:rFonts w:hint="eastAsia" w:ascii="仿宋" w:hAnsi="仿宋" w:eastAsia="仿宋"/>
          <w:sz w:val="24"/>
          <w:lang w:val="en-US" w:eastAsia="zh-CN"/>
        </w:rPr>
        <w:t>35</w:t>
      </w:r>
    </w:p>
    <w:p>
      <w:pPr>
        <w:pStyle w:val="11"/>
        <w:keepNext w:val="0"/>
        <w:keepLines w:val="0"/>
        <w:pageBreakBefore w:val="0"/>
        <w:widowControl w:val="0"/>
        <w:tabs>
          <w:tab w:val="center" w:leader="dot" w:pos="798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stheme="minorBidi"/>
          <w:sz w:val="24"/>
          <w:lang w:val="en-US" w:eastAsia="zh-CN"/>
        </w:rPr>
      </w:pPr>
      <w:r>
        <w:rPr>
          <w:rFonts w:hint="eastAsia" w:ascii="仿宋" w:hAnsi="仿宋" w:eastAsia="仿宋"/>
          <w:sz w:val="24"/>
        </w:rPr>
        <w:t>十四、</w:t>
      </w:r>
      <w:r>
        <w:rPr>
          <w:rFonts w:hint="eastAsia"/>
          <w:sz w:val="24"/>
        </w:rPr>
        <w:t>国有资本经营预算财政拨款支出决算表</w:t>
      </w:r>
      <w:r>
        <w:rPr>
          <w:rFonts w:ascii="仿宋" w:hAnsi="仿宋" w:eastAsia="仿宋"/>
          <w:sz w:val="24"/>
        </w:rPr>
        <w:tab/>
      </w:r>
      <w:r>
        <w:rPr>
          <w:rFonts w:hint="eastAsia" w:ascii="仿宋" w:hAnsi="仿宋" w:eastAsia="仿宋"/>
          <w:sz w:val="24"/>
          <w:lang w:val="en-US" w:eastAsia="zh-CN"/>
        </w:rPr>
        <w:t>35</w:t>
      </w:r>
    </w:p>
    <w:p>
      <w:pPr>
        <w:widowControl/>
        <w:spacing w:line="440" w:lineRule="exact"/>
        <w:jc w:val="center"/>
        <w:rPr>
          <w:rStyle w:val="24"/>
          <w:rFonts w:ascii="黑体" w:hAnsi="黑体" w:eastAsia="黑体"/>
          <w:b w:val="0"/>
        </w:rPr>
      </w:pPr>
      <w:r>
        <w:rPr>
          <w:rFonts w:ascii="仿宋" w:hAnsi="仿宋" w:eastAsia="仿宋"/>
          <w:b/>
          <w:sz w:val="24"/>
        </w:rPr>
        <w:br w:type="page"/>
      </w:r>
      <w:r>
        <w:rPr>
          <w:rStyle w:val="24"/>
          <w:rFonts w:hint="eastAsia" w:ascii="黑体" w:hAnsi="黑体" w:eastAsia="黑体"/>
          <w:b w:val="0"/>
        </w:rPr>
        <w:t>第一部分</w:t>
      </w:r>
      <w:r>
        <w:rPr>
          <w:rStyle w:val="24"/>
          <w:rFonts w:hint="eastAsia" w:ascii="黑体" w:hAnsi="黑体"/>
          <w:b w:val="0"/>
        </w:rPr>
        <w:t xml:space="preserve"> </w:t>
      </w:r>
      <w:r>
        <w:rPr>
          <w:rStyle w:val="24"/>
          <w:rFonts w:hint="eastAsia" w:ascii="黑体" w:hAnsi="黑体" w:eastAsia="黑体"/>
          <w:b w:val="0"/>
        </w:rPr>
        <w:t>部门概况</w:t>
      </w:r>
      <w:bookmarkEnd w:id="6"/>
      <w:bookmarkEnd w:id="7"/>
      <w:bookmarkStart w:id="8" w:name="_Toc15377197"/>
      <w:bookmarkStart w:id="9" w:name="_Toc15396600"/>
    </w:p>
    <w:p>
      <w:pPr>
        <w:widowControl/>
        <w:spacing w:line="440" w:lineRule="exact"/>
        <w:jc w:val="left"/>
        <w:rPr>
          <w:rFonts w:ascii="黑体" w:hAnsi="黑体" w:eastAsia="黑体"/>
        </w:rPr>
      </w:pPr>
    </w:p>
    <w:p>
      <w:pPr>
        <w:widowControl/>
        <w:spacing w:line="440" w:lineRule="exact"/>
        <w:jc w:val="left"/>
        <w:rPr>
          <w:rStyle w:val="25"/>
          <w:rFonts w:ascii="黑体" w:hAnsi="黑体" w:eastAsia="黑体"/>
        </w:rPr>
      </w:pPr>
      <w:r>
        <w:rPr>
          <w:rStyle w:val="25"/>
          <w:rFonts w:hint="eastAsia" w:ascii="黑体" w:hAnsi="黑体" w:eastAsia="黑体"/>
        </w:rPr>
        <w:t>一、基本职能及主要工作</w:t>
      </w:r>
      <w:bookmarkEnd w:id="8"/>
      <w:bookmarkEnd w:id="9"/>
      <w:bookmarkStart w:id="10" w:name="_Toc15378446"/>
      <w:bookmarkStart w:id="11" w:name="_Toc15377199"/>
    </w:p>
    <w:p>
      <w:pPr>
        <w:spacing w:line="59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（一）主要职能。</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根据中共邻水县委办公室《关于印发&lt;中共邻水县纪律检查委员会邻水县监察委员会机关职能配置、内设机构和人员编制规定&gt;的通知》（邻委办〔2019〕15号），中共邻水县纪委监委主要职责：</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一是</w:t>
      </w:r>
      <w:r>
        <w:rPr>
          <w:rFonts w:hint="eastAsia" w:eastAsia="方正仿宋_GBK"/>
          <w:sz w:val="33"/>
          <w:szCs w:val="33"/>
          <w:lang w:val="zh-CN"/>
        </w:rPr>
        <w:t>负责党的纪律检查工作。贯彻落实党中央关于纪律检查工作的决定，维护党的章程和其他党内法规，检查党的路线方针政策和决议的执行情况，协助县委推进全面从严治党、加强党风建设和组织协调反腐败工作。</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二是</w:t>
      </w:r>
      <w:r>
        <w:rPr>
          <w:rFonts w:hint="eastAsia" w:eastAsia="方正仿宋_GBK"/>
          <w:sz w:val="33"/>
          <w:szCs w:val="33"/>
          <w:lang w:val="zh-CN"/>
        </w:rPr>
        <w:t>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三是</w:t>
      </w:r>
      <w:r>
        <w:rPr>
          <w:rFonts w:hint="eastAsia" w:eastAsia="方正仿宋_GBK"/>
          <w:sz w:val="33"/>
          <w:szCs w:val="33"/>
          <w:lang w:val="zh-CN"/>
        </w:rPr>
        <w:t>负责全县监察工作。贯彻落实党中央关于监察工作的决定，维护宪法法律，依法对县委管理的行使公权力的公职人员进行监察，调查职务违法和职务犯罪，开展廉政建设和反腐败工作。</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四是</w:t>
      </w:r>
      <w:r>
        <w:rPr>
          <w:rFonts w:hint="eastAsia" w:eastAsia="方正仿宋_GBK"/>
          <w:sz w:val="33"/>
          <w:szCs w:val="33"/>
          <w:lang w:val="zh-CN"/>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五是</w:t>
      </w:r>
      <w:r>
        <w:rPr>
          <w:rFonts w:hint="eastAsia" w:eastAsia="方正仿宋_GBK"/>
          <w:sz w:val="33"/>
          <w:szCs w:val="33"/>
          <w:lang w:val="zh-CN"/>
        </w:rPr>
        <w:t>负责组织协调全面从严治党、党风廉政建设和反腐败宣传教育工作。</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六是</w:t>
      </w:r>
      <w:r>
        <w:rPr>
          <w:rFonts w:hint="eastAsia" w:eastAsia="方正仿宋_GBK"/>
          <w:sz w:val="33"/>
          <w:szCs w:val="33"/>
          <w:lang w:val="zh-CN"/>
        </w:rPr>
        <w:t>负责综合分析全面从严治党、党风廉政建设和反腐败工作情况，对纪检监察工作重要理论及实践问题进行调查研究。制定或者修改全县纪检监察制度，参与起草制定相关规范性文件。</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七是</w:t>
      </w:r>
      <w:r>
        <w:rPr>
          <w:rFonts w:hint="eastAsia" w:eastAsia="方正仿宋_GBK"/>
          <w:sz w:val="33"/>
          <w:szCs w:val="33"/>
          <w:lang w:val="zh-CN"/>
        </w:rPr>
        <w:t>在中共广安市纪委广安市监委的领导下，加强对反腐败追逃追赃和防逃工作的组织协调，督促有关单位做好相关工作。</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八是</w:t>
      </w:r>
      <w:r>
        <w:rPr>
          <w:rFonts w:hint="eastAsia" w:eastAsia="方正仿宋_GBK"/>
          <w:sz w:val="33"/>
          <w:szCs w:val="33"/>
          <w:lang w:val="zh-CN"/>
        </w:rPr>
        <w:t>根据干部管理权限，负责纪检监察系统领导班子建设、干部队伍建设和组织建设的综合规划、政策研究、制度建设和业务指导。会同有关方面做好县纪委监委派驻（出）机构、下一级纪检监察组织、县管企业和县属学校、医院纪检监察队伍建设有关工作。组织和指导全县纪检监察系统干部教育培训工作等。</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九是</w:t>
      </w:r>
      <w:r>
        <w:rPr>
          <w:rFonts w:hint="eastAsia" w:eastAsia="方正仿宋_GBK"/>
          <w:sz w:val="33"/>
          <w:szCs w:val="33"/>
          <w:lang w:val="zh-CN"/>
        </w:rPr>
        <w:t>完成县委和中共广安市纪委广安市监委交办的其他任务。</w:t>
      </w:r>
    </w:p>
    <w:p>
      <w:pPr>
        <w:spacing w:line="59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（二）2021年重点工作完成情况</w:t>
      </w:r>
      <w:bookmarkEnd w:id="10"/>
      <w:bookmarkEnd w:id="11"/>
      <w:r>
        <w:rPr>
          <w:rFonts w:hint="eastAsia" w:ascii="仿宋" w:hAnsi="仿宋" w:eastAsia="仿宋" w:cs="Times New Roman"/>
          <w:bCs/>
          <w:color w:val="000000"/>
          <w:kern w:val="0"/>
          <w:sz w:val="32"/>
          <w:szCs w:val="32"/>
          <w:lang w:val="en-US" w:eastAsia="zh-CN" w:bidi="ar-SA"/>
        </w:rPr>
        <w:t>。</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一是坚持政治引领，践行“两个维护”坚定坚决。落实党建工作责任制和意识形态工作责任制，先后召开36次常委会、专题会，学习贯彻上级党委、纪委监委重要指示精神。认真落实“两为主”要求，分别向市纪委监委和县委书面请示报告314次、208次。认真落实市委修复净化政治生态25条措施，全覆盖开展政治生态研判评定，实行日常评定与集中评定相结合，对76个单位予以扣分，发出黄牌警告3次。坚决落实“全面从严治党首先从政治上看”要求，发现并督促整改疫情防控责任不到位等问题863个，问责46人，严肃查处违反政治记录表和政治规矩问题3件3人。推动中省环保督察反馈问题整改，整改完成率达84%。积极推动“双城经济圈”建设，与高竹新区临时纪委开展“廉”调研。二是坚持守正创新，立体监督格局有形有效。按照县委“1234”生产力空间布局，设立四大纪检监察片区，实行“片长+县委巡察组+纪检监察室+派驻纪检监察组+镇纪委+机关纪委”协同联动模式，建立“三联四互”运行机制，围绕巩固拓展脱贫攻坚成果同乡村振兴有效衔接、环境保护、森林防灭火、防汛减灾、重大项目等跟进监督，督促整改问题390个，问责39人。紧扣“三个聚焦”，对9个单位开展常规巡察，发现并督促整改问题92个，实现县委十三届巡察“全覆盖”。全覆盖设立机关纪委41个，15名镇党委杜书记兼任纪委书记兼任纪委书记，增设监察专员25名，配备镇盘区纪检监督员76名。三是坚持执纪为民，群众“三感”提升可见可闻。以“23451”工作法推进“人民阅卷·广安行动”，持续深化“三项机制”“四大工程”推动解决“办证难”“黑楼道”等问题4.4万余个。开展养老保险专项监督，专项治理涉农保险补贴、涉教保险问题，查处漠视侵害群众利益问题132件、处理196人，群众切身利益得到有效维护。四是坚持教育引导，党员干部作风向善向好。开展全县领导干部家属集体廉政谈话，举办家风建设专题讲座，组织开展“吃公函”专项整治，发放提示函8份，开展“指尖上”的形式主义专项调研，严肃查处形式主义官僚主义问题24件44人。在全市创新开展阳光问廉进乡村直播节目，曝光问题3个，约谈“一把手”6人，同时对工作推荐好的2个单位进行现场访谈。五是坚持严管厚爱，队伍自身建设优化优质。举办“邻州小讲堂”12期，通过讲政治、学理论、验成果等方式，切实提升干部思想政治素质。深化拓展“基层大练兵”活动，选派25名年轻干部到全县各镇蹲点历练，解决群众组织问题136个。统筹开展政治理论、纪检监察业务、法律法规等“定制式”全员培训和专业化系统化培训，举办各类培训班19期，先后选派干部150余人次到上级纪检监察机关“以战代训”，扎实开展“四个一”活动及“十堂精品课”。创新内部监督方式，随机选取15名干部向县纪委常委会述职述责述廉。全覆盖分层分类开展谈心谈话和廉政家访，递送《廉洁家书》120份，解决干部实际困难21个，收集意见建议45条。</w:t>
      </w:r>
    </w:p>
    <w:p>
      <w:pPr>
        <w:pStyle w:val="4"/>
        <w:rPr>
          <w:rStyle w:val="25"/>
          <w:b w:val="0"/>
          <w:bCs w:val="0"/>
        </w:rPr>
      </w:pPr>
      <w:bookmarkStart w:id="12" w:name="_Toc15396601"/>
      <w:bookmarkStart w:id="13" w:name="_Toc15377200"/>
      <w:r>
        <w:rPr>
          <w:rFonts w:hint="eastAsia" w:ascii="黑体" w:eastAsia="黑体"/>
          <w:b w:val="0"/>
        </w:rPr>
        <w:t>二、</w:t>
      </w:r>
      <w:r>
        <w:rPr>
          <w:rFonts w:hint="eastAsia" w:ascii="黑体" w:hAnsi="黑体" w:eastAsia="黑体"/>
          <w:b w:val="0"/>
        </w:rPr>
        <w:t>机</w:t>
      </w:r>
      <w:r>
        <w:rPr>
          <w:rStyle w:val="25"/>
          <w:rFonts w:hint="eastAsia" w:ascii="黑体" w:hAnsi="黑体" w:eastAsia="黑体"/>
          <w:b w:val="0"/>
          <w:bCs w:val="0"/>
        </w:rPr>
        <w:t>构设置</w:t>
      </w:r>
      <w:bookmarkEnd w:id="12"/>
      <w:bookmarkEnd w:id="13"/>
    </w:p>
    <w:p>
      <w:pPr>
        <w:pStyle w:val="6"/>
        <w:ind w:firstLine="660" w:firstLineChars="200"/>
        <w:rPr>
          <w:rFonts w:hint="eastAsia" w:ascii="Times New Roman" w:hAnsi="Times New Roman" w:eastAsia="方正仿宋_GBK" w:cs="Times New Roman"/>
          <w:kern w:val="0"/>
          <w:sz w:val="33"/>
          <w:szCs w:val="33"/>
          <w:lang w:val="en-US" w:eastAsia="zh-CN" w:bidi="ar-SA"/>
        </w:rPr>
      </w:pPr>
      <w:bookmarkStart w:id="14" w:name="_Toc15396602"/>
      <w:bookmarkStart w:id="15" w:name="_Toc15377204"/>
      <w:r>
        <w:rPr>
          <w:rFonts w:hint="eastAsia" w:ascii="Times New Roman" w:hAnsi="Times New Roman" w:eastAsia="方正仿宋_GBK" w:cs="Times New Roman"/>
          <w:kern w:val="0"/>
          <w:sz w:val="33"/>
          <w:szCs w:val="33"/>
          <w:lang w:val="en-US" w:eastAsia="zh-CN" w:bidi="ar-SA"/>
        </w:rPr>
        <w:t>中共邻水县纪委下属二级预算单位0个，其中行政单位0个，参照公务员法管理的事业单位0个，其他事业单位0个。</w:t>
      </w:r>
    </w:p>
    <w:p>
      <w:pPr>
        <w:pStyle w:val="6"/>
        <w:ind w:firstLine="660" w:firstLineChars="200"/>
        <w:rPr>
          <w:rFonts w:hint="eastAsia" w:ascii="Times New Roman" w:hAnsi="Times New Roman" w:eastAsia="方正仿宋_GBK" w:cs="Times New Roman"/>
          <w:kern w:val="0"/>
          <w:sz w:val="33"/>
          <w:szCs w:val="33"/>
          <w:lang w:val="en-US" w:eastAsia="zh-CN" w:bidi="ar-SA"/>
        </w:rPr>
      </w:pPr>
      <w:r>
        <w:rPr>
          <w:rFonts w:hint="eastAsia" w:ascii="Times New Roman" w:hAnsi="Times New Roman" w:eastAsia="方正仿宋_GBK" w:cs="Times New Roman"/>
          <w:kern w:val="0"/>
          <w:sz w:val="33"/>
          <w:szCs w:val="33"/>
          <w:lang w:val="en-US" w:eastAsia="zh-CN" w:bidi="ar-SA"/>
        </w:rPr>
        <w:t>中共邻水县纪委内设17个科室，主要包括：机关党委、办公室、组织部、宣传部、党风室、研究室、审理室、案管室、</w:t>
      </w:r>
      <w:r>
        <w:rPr>
          <w:rFonts w:hint="eastAsia" w:ascii="Times New Roman" w:eastAsia="方正仿宋_GBK" w:cs="Times New Roman"/>
          <w:kern w:val="0"/>
          <w:sz w:val="33"/>
          <w:szCs w:val="33"/>
          <w:lang w:val="en-US" w:eastAsia="zh-CN" w:bidi="ar-SA"/>
        </w:rPr>
        <w:t>信访室、干监室、</w:t>
      </w:r>
      <w:r>
        <w:rPr>
          <w:rFonts w:hint="eastAsia" w:ascii="Times New Roman" w:hAnsi="Times New Roman" w:eastAsia="方正仿宋_GBK" w:cs="Times New Roman"/>
          <w:kern w:val="0"/>
          <w:sz w:val="33"/>
          <w:szCs w:val="33"/>
          <w:lang w:val="en-US" w:eastAsia="zh-CN" w:bidi="ar-SA"/>
        </w:rPr>
        <w:t>第一至第七纪检监察室等。</w:t>
      </w:r>
    </w:p>
    <w:p>
      <w:pPr>
        <w:pStyle w:val="6"/>
        <w:spacing w:before="93"/>
      </w:pPr>
    </w:p>
    <w:p>
      <w:pPr>
        <w:pStyle w:val="6"/>
        <w:spacing w:before="93"/>
      </w:pPr>
    </w:p>
    <w:p>
      <w:pPr>
        <w:pStyle w:val="6"/>
        <w:spacing w:before="93"/>
      </w:pPr>
    </w:p>
    <w:p>
      <w:pPr>
        <w:pStyle w:val="6"/>
        <w:spacing w:before="93"/>
      </w:pPr>
    </w:p>
    <w:p>
      <w:pPr>
        <w:pStyle w:val="6"/>
        <w:spacing w:before="93"/>
      </w:pPr>
    </w:p>
    <w:p>
      <w:pPr>
        <w:pStyle w:val="6"/>
        <w:spacing w:before="93"/>
      </w:pPr>
    </w:p>
    <w:p>
      <w:pPr>
        <w:pStyle w:val="3"/>
        <w:ind w:right="440"/>
        <w:jc w:val="center"/>
        <w:rPr>
          <w:rFonts w:ascii="黑体" w:hAnsi="黑体" w:eastAsia="黑体"/>
          <w:b w:val="0"/>
        </w:rPr>
      </w:pPr>
      <w:r>
        <w:rPr>
          <w:rFonts w:hint="eastAsia" w:ascii="黑体" w:hAnsi="黑体" w:eastAsia="黑体"/>
          <w:b w:val="0"/>
        </w:rPr>
        <w:t>第二部分 2021年度</w:t>
      </w:r>
      <w:r>
        <w:rPr>
          <w:rStyle w:val="24"/>
          <w:rFonts w:hint="eastAsia" w:ascii="黑体" w:hAnsi="黑体" w:eastAsia="黑体"/>
          <w:b w:val="0"/>
          <w:bCs/>
        </w:rPr>
        <w:t>部门决算情况说明</w:t>
      </w:r>
      <w:bookmarkEnd w:id="14"/>
      <w:bookmarkEnd w:id="15"/>
    </w:p>
    <w:p>
      <w:pPr>
        <w:pStyle w:val="23"/>
        <w:numPr>
          <w:ilvl w:val="0"/>
          <w:numId w:val="1"/>
        </w:numPr>
        <w:spacing w:line="600" w:lineRule="exact"/>
        <w:ind w:firstLineChars="0"/>
        <w:outlineLvl w:val="1"/>
        <w:rPr>
          <w:rStyle w:val="25"/>
          <w:rFonts w:ascii="黑体" w:hAnsi="黑体" w:eastAsia="黑体"/>
          <w:b w:val="0"/>
        </w:rPr>
      </w:pPr>
      <w:bookmarkStart w:id="16" w:name="_Toc15396603"/>
      <w:bookmarkStart w:id="17"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6"/>
      <w:bookmarkEnd w:id="17"/>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度收入总计2343.94万元，与2020年相比，收入总计增加91.05万元，增长4.04%。主要变动原因是2021年购买了2台执法执勤车辆。2021年度支出总计2343.94万元，与2020年相比，支出总计增加47.76万元，增长2.08%，原因是购买了2台执法执勤车辆</w:t>
      </w:r>
      <w:r>
        <w:rPr>
          <w:rFonts w:hint="eastAsia" w:eastAsia="方正仿宋_GBK"/>
          <w:sz w:val="33"/>
          <w:szCs w:val="33"/>
          <w:lang w:val="zh-CN" w:eastAsia="zh-CN"/>
        </w:rPr>
        <w:t>，</w:t>
      </w:r>
      <w:r>
        <w:rPr>
          <w:rFonts w:hint="eastAsia" w:eastAsia="方正仿宋_GBK"/>
          <w:sz w:val="33"/>
          <w:szCs w:val="33"/>
          <w:lang w:val="en-US" w:eastAsia="zh-CN"/>
        </w:rPr>
        <w:t>人员数增加，案件数增多，支出数相应增加</w:t>
      </w:r>
      <w:r>
        <w:rPr>
          <w:rFonts w:hint="eastAsia" w:eastAsia="方正仿宋_GBK"/>
          <w:sz w:val="33"/>
          <w:szCs w:val="33"/>
          <w:lang w:val="zh-CN"/>
        </w:rPr>
        <w:t>。</w:t>
      </w:r>
    </w:p>
    <w:p>
      <w:pPr>
        <w:pStyle w:val="6"/>
        <w:spacing w:before="93"/>
        <w:ind w:firstLine="300" w:firstLineChars="100"/>
      </w:pPr>
      <w:r>
        <w:drawing>
          <wp:inline distT="0" distB="0" distL="0" distR="0">
            <wp:extent cx="4747260" cy="2628900"/>
            <wp:effectExtent l="0" t="0" r="1524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18" w:name="_Toc15396604"/>
      <w:bookmarkStart w:id="19" w:name="_Toc15377206"/>
      <w:r>
        <w:rPr>
          <w:rFonts w:hint="eastAsia" w:ascii="黑体" w:hAnsi="黑体" w:eastAsia="黑体"/>
          <w:sz w:val="32"/>
          <w:szCs w:val="32"/>
        </w:rPr>
        <w:t>收</w:t>
      </w:r>
      <w:r>
        <w:rPr>
          <w:rStyle w:val="25"/>
          <w:rFonts w:hint="eastAsia" w:ascii="黑体" w:hAnsi="黑体" w:eastAsia="黑体"/>
          <w:b w:val="0"/>
        </w:rPr>
        <w:t>入决算情况说明</w:t>
      </w:r>
      <w:bookmarkEnd w:id="18"/>
      <w:bookmarkEnd w:id="19"/>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2021年中共邻水县纪委本年收入合计2343.94万元，其中：一般公共预算财政拨款收入2343.94万元，占100%。</w:t>
      </w:r>
    </w:p>
    <w:p>
      <w:pPr>
        <w:spacing w:line="600" w:lineRule="exact"/>
        <w:ind w:firstLine="640" w:firstLineChars="200"/>
        <w:outlineLvl w:val="1"/>
        <w:rPr>
          <w:rFonts w:ascii="仿宋" w:hAnsi="仿宋" w:eastAsia="仿宋"/>
          <w:sz w:val="32"/>
          <w:szCs w:val="32"/>
        </w:rPr>
      </w:pPr>
    </w:p>
    <w:p>
      <w:pPr>
        <w:pStyle w:val="6"/>
        <w:spacing w:before="93"/>
      </w:pPr>
    </w:p>
    <w:p>
      <w:pPr>
        <w:pStyle w:val="6"/>
        <w:spacing w:before="93"/>
        <w:jc w:val="center"/>
      </w:pPr>
      <w:r>
        <w:drawing>
          <wp:inline distT="0" distB="0" distL="0" distR="0">
            <wp:extent cx="4701540" cy="2788920"/>
            <wp:effectExtent l="0" t="0" r="2286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pPr>
        <w:pStyle w:val="6"/>
        <w:spacing w:before="93"/>
      </w:pPr>
    </w:p>
    <w:p>
      <w:pPr>
        <w:pStyle w:val="23"/>
        <w:numPr>
          <w:ilvl w:val="0"/>
          <w:numId w:val="1"/>
        </w:numPr>
        <w:spacing w:line="600" w:lineRule="exact"/>
        <w:ind w:firstLineChars="0"/>
        <w:outlineLvl w:val="1"/>
        <w:rPr>
          <w:rStyle w:val="25"/>
          <w:rFonts w:ascii="黑体" w:hAnsi="黑体" w:eastAsia="黑体"/>
          <w:b w:val="0"/>
        </w:rPr>
      </w:pPr>
      <w:bookmarkStart w:id="20" w:name="_Toc15396605"/>
      <w:bookmarkStart w:id="21" w:name="_Toc15377207"/>
      <w:r>
        <w:rPr>
          <w:rFonts w:hint="eastAsia" w:ascii="黑体" w:hAnsi="黑体" w:eastAsia="黑体"/>
          <w:sz w:val="32"/>
          <w:szCs w:val="32"/>
        </w:rPr>
        <w:t>支</w:t>
      </w:r>
      <w:r>
        <w:rPr>
          <w:rStyle w:val="25"/>
          <w:rFonts w:hint="eastAsia" w:ascii="黑体" w:hAnsi="黑体" w:eastAsia="黑体"/>
          <w:b w:val="0"/>
        </w:rPr>
        <w:t>出决算情况说明</w:t>
      </w:r>
      <w:bookmarkEnd w:id="20"/>
      <w:bookmarkEnd w:id="21"/>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2021年本年支出合计2343.94万元，其中：基本支出2110.54万元，占90%；项目支出233.4万元，占10%。</w:t>
      </w:r>
    </w:p>
    <w:p>
      <w:pPr>
        <w:pStyle w:val="6"/>
        <w:spacing w:before="93"/>
        <w:jc w:val="center"/>
        <w:rPr>
          <w:rFonts w:ascii="仿宋" w:hAnsi="仿宋" w:eastAsia="仿宋"/>
          <w:sz w:val="32"/>
          <w:szCs w:val="32"/>
        </w:rPr>
      </w:pPr>
      <w:r>
        <w:rPr>
          <w:rFonts w:hint="eastAsia"/>
        </w:rPr>
        <w:drawing>
          <wp:inline distT="0" distB="0" distL="0" distR="0">
            <wp:extent cx="4701540" cy="2918460"/>
            <wp:effectExtent l="4445" t="4445" r="18415"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spacing w:before="93"/>
        <w:jc w:val="center"/>
      </w:pPr>
      <w:r>
        <w:rPr>
          <w:rFonts w:ascii="仿宋" w:hAnsi="仿宋" w:eastAsia="仿宋"/>
          <w:sz w:val="32"/>
          <w:szCs w:val="32"/>
        </w:rPr>
        <w:drawing>
          <wp:anchor distT="5715" distB="5715" distL="120015" distR="118110" simplePos="0" relativeHeight="251659264" behindDoc="0" locked="0" layoutInCell="1" allowOverlap="1">
            <wp:simplePos x="0" y="0"/>
            <wp:positionH relativeFrom="column">
              <wp:posOffset>1649730</wp:posOffset>
            </wp:positionH>
            <wp:positionV relativeFrom="paragraph">
              <wp:posOffset>5711825</wp:posOffset>
            </wp:positionV>
            <wp:extent cx="4664075" cy="2926715"/>
            <wp:effectExtent l="0" t="0" r="22225" b="2603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（图3：支出决算结构图）（饼状图）</w:t>
      </w:r>
    </w:p>
    <w:p>
      <w:pPr>
        <w:spacing w:line="600" w:lineRule="exact"/>
        <w:ind w:firstLine="640" w:firstLineChars="200"/>
        <w:outlineLvl w:val="1"/>
        <w:rPr>
          <w:rFonts w:ascii="黑体" w:hAnsi="黑体" w:eastAsia="黑体"/>
          <w:sz w:val="32"/>
          <w:szCs w:val="32"/>
        </w:rPr>
      </w:pPr>
      <w:bookmarkStart w:id="22" w:name="_Toc15377208"/>
      <w:bookmarkStart w:id="23" w:name="_Toc15396606"/>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2"/>
      <w:bookmarkEnd w:id="23"/>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度财政拨款收入合计2343.94万元，支出合计2343.94万元。与2020年相比，收入总计增加91.05万元，增长4.04%，原因是2021年购买了2台执法执勤车辆。支出总计增加47.76万元，增长2.08%，原因是2021年购买了2台执法执勤车辆</w:t>
      </w:r>
      <w:r>
        <w:rPr>
          <w:rFonts w:hint="eastAsia" w:eastAsia="方正仿宋_GBK"/>
          <w:sz w:val="33"/>
          <w:szCs w:val="33"/>
          <w:lang w:val="zh-CN" w:eastAsia="zh-CN"/>
        </w:rPr>
        <w:t>，</w:t>
      </w:r>
      <w:r>
        <w:rPr>
          <w:rFonts w:hint="eastAsia" w:eastAsia="方正仿宋_GBK"/>
          <w:sz w:val="33"/>
          <w:szCs w:val="33"/>
          <w:lang w:val="en-US" w:eastAsia="zh-CN"/>
        </w:rPr>
        <w:t>人员数增加，案件数增多，支出数相应增加</w:t>
      </w:r>
      <w:r>
        <w:rPr>
          <w:rFonts w:hint="eastAsia" w:eastAsia="方正仿宋_GBK"/>
          <w:sz w:val="33"/>
          <w:szCs w:val="33"/>
          <w:lang w:val="zh-CN"/>
        </w:rPr>
        <w:t>。</w:t>
      </w:r>
    </w:p>
    <w:p>
      <w:pPr>
        <w:pStyle w:val="6"/>
        <w:spacing w:before="93"/>
      </w:pPr>
      <w:r>
        <w:rPr>
          <w:rFonts w:hint="eastAsia"/>
        </w:rPr>
        <w:drawing>
          <wp:inline distT="0" distB="0" distL="0" distR="0">
            <wp:extent cx="5274310" cy="3076575"/>
            <wp:effectExtent l="0" t="0" r="2159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4"/>
      <w:bookmarkEnd w:id="25"/>
    </w:p>
    <w:p>
      <w:pPr>
        <w:spacing w:line="600" w:lineRule="exact"/>
        <w:ind w:firstLine="642"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2021年一般公共预算财政拨款支出2343.94万元，占本年支出合计的100%。与2020年相比，一般公共预算财政拨款支出增加47.76万元，增长2.08%。主要变动原因是2021年购买了2台执法执勤车辆</w:t>
      </w:r>
      <w:r>
        <w:rPr>
          <w:rFonts w:hint="eastAsia" w:eastAsia="方正仿宋_GBK"/>
          <w:sz w:val="33"/>
          <w:szCs w:val="33"/>
          <w:lang w:val="zh-CN" w:eastAsia="zh-CN"/>
        </w:rPr>
        <w:t>，</w:t>
      </w:r>
      <w:r>
        <w:rPr>
          <w:rFonts w:hint="eastAsia" w:eastAsia="方正仿宋_GBK"/>
          <w:sz w:val="33"/>
          <w:szCs w:val="33"/>
          <w:lang w:val="en-US" w:eastAsia="zh-CN"/>
        </w:rPr>
        <w:t>人员数增加，案件数增多，支出数相应增加</w:t>
      </w:r>
      <w:r>
        <w:rPr>
          <w:rFonts w:hint="eastAsia" w:eastAsia="方正仿宋_GBK"/>
          <w:sz w:val="33"/>
          <w:szCs w:val="33"/>
          <w:lang w:val="zh-CN"/>
        </w:rPr>
        <w:t>。</w:t>
      </w:r>
    </w:p>
    <w:p>
      <w:pPr>
        <w:pStyle w:val="6"/>
        <w:spacing w:before="93"/>
        <w:rPr>
          <w:rFonts w:ascii="仿宋" w:hAnsi="仿宋" w:eastAsia="仿宋"/>
          <w:sz w:val="32"/>
          <w:szCs w:val="32"/>
        </w:rPr>
      </w:pPr>
      <w:r>
        <w:rPr>
          <w:rFonts w:hint="eastAsia" w:ascii="仿宋" w:hAnsi="仿宋" w:eastAsia="仿宋"/>
          <w:sz w:val="32"/>
          <w:szCs w:val="32"/>
        </w:rPr>
        <w:drawing>
          <wp:inline distT="0" distB="0" distL="0" distR="0">
            <wp:extent cx="5090160" cy="2575560"/>
            <wp:effectExtent l="0" t="0" r="15240" b="1524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21年一般公共预算财政拨款支出2343.94万元，主要用于以下方面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支出1960.12万元，占83.63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支出188.03万元，占8.02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类</w:t>
      </w:r>
      <w:r>
        <w:rPr>
          <w:rFonts w:hint="eastAsia" w:ascii="仿宋" w:hAnsi="仿宋" w:eastAsia="仿宋"/>
          <w:b/>
          <w:bCs/>
          <w:sz w:val="32"/>
          <w:szCs w:val="32"/>
          <w:lang w:eastAsia="zh-CN"/>
        </w:rPr>
        <w:t>）</w:t>
      </w:r>
      <w:r>
        <w:rPr>
          <w:rFonts w:hint="eastAsia" w:ascii="仿宋" w:hAnsi="仿宋" w:eastAsia="仿宋"/>
          <w:sz w:val="32"/>
          <w:szCs w:val="32"/>
        </w:rPr>
        <w:t>47.28万元，占2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类</w:t>
      </w:r>
      <w:r>
        <w:rPr>
          <w:rFonts w:hint="eastAsia" w:ascii="仿宋" w:hAnsi="仿宋" w:eastAsia="仿宋"/>
          <w:b/>
          <w:bCs/>
          <w:sz w:val="32"/>
          <w:szCs w:val="32"/>
          <w:lang w:eastAsia="zh-CN"/>
        </w:rPr>
        <w:t>）</w:t>
      </w:r>
      <w:r>
        <w:rPr>
          <w:rFonts w:hint="eastAsia" w:ascii="仿宋" w:hAnsi="仿宋" w:eastAsia="仿宋"/>
          <w:sz w:val="32"/>
          <w:szCs w:val="32"/>
        </w:rPr>
        <w:t>支出148.51万元，占5.33</w:t>
      </w:r>
      <w:r>
        <w:rPr>
          <w:rFonts w:ascii="仿宋" w:hAnsi="仿宋" w:eastAsia="仿宋"/>
          <w:sz w:val="32"/>
          <w:szCs w:val="32"/>
        </w:rPr>
        <w:t>%</w:t>
      </w:r>
      <w:r>
        <w:rPr>
          <w:rFonts w:hint="eastAsia" w:ascii="仿宋" w:hAnsi="仿宋" w:eastAsia="仿宋"/>
          <w:sz w:val="32"/>
          <w:szCs w:val="32"/>
        </w:rPr>
        <w:t>。</w:t>
      </w:r>
    </w:p>
    <w:p>
      <w:pPr>
        <w:pStyle w:val="6"/>
        <w:spacing w:before="93"/>
      </w:pPr>
      <w:r>
        <w:rPr>
          <w:rFonts w:hint="eastAsia"/>
        </w:rPr>
        <w:drawing>
          <wp:inline distT="0" distB="0" distL="0" distR="0">
            <wp:extent cx="5273040" cy="2484120"/>
            <wp:effectExtent l="0" t="0" r="22860" b="1143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8" w:name="_Toc15377212"/>
      <w:r>
        <w:rPr>
          <w:rFonts w:hint="eastAsia" w:ascii="仿宋" w:hAnsi="仿宋" w:eastAsia="仿宋"/>
          <w:b/>
          <w:sz w:val="32"/>
          <w:szCs w:val="32"/>
        </w:rPr>
        <w:t>（三）一般公共预算财政拨款支出决算具体情况</w:t>
      </w:r>
      <w:bookmarkEnd w:id="28"/>
    </w:p>
    <w:p>
      <w:pPr>
        <w:spacing w:line="600" w:lineRule="exact"/>
        <w:ind w:firstLine="642" w:firstLineChars="200"/>
        <w:outlineLvl w:val="2"/>
        <w:rPr>
          <w:rFonts w:ascii="仿宋" w:hAnsi="仿宋" w:eastAsia="仿宋"/>
          <w:sz w:val="32"/>
          <w:szCs w:val="32"/>
        </w:rPr>
      </w:pPr>
      <w:bookmarkStart w:id="29" w:name="_Toc15378460"/>
      <w:bookmarkStart w:id="30" w:name="_Toc15377444"/>
      <w:bookmarkStart w:id="31" w:name="_Toc15377213"/>
      <w:r>
        <w:rPr>
          <w:rFonts w:hint="eastAsia" w:ascii="仿宋" w:hAnsi="仿宋" w:eastAsia="仿宋"/>
          <w:b/>
          <w:sz w:val="32"/>
          <w:szCs w:val="32"/>
        </w:rPr>
        <w:t>2021年一般公共预算支出决算数为2343.94</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29"/>
      <w:bookmarkEnd w:id="30"/>
      <w:bookmarkEnd w:id="31"/>
    </w:p>
    <w:p>
      <w:pPr>
        <w:spacing w:line="600" w:lineRule="exact"/>
        <w:ind w:firstLine="642" w:firstLineChars="200"/>
        <w:rPr>
          <w:rStyle w:val="14"/>
          <w:rFonts w:ascii="仿宋" w:hAnsi="仿宋" w:eastAsia="仿宋"/>
          <w:b w:val="0"/>
          <w:bCs/>
          <w:sz w:val="32"/>
          <w:szCs w:val="32"/>
        </w:rPr>
      </w:pPr>
      <w:r>
        <w:rPr>
          <w:rStyle w:val="14"/>
          <w:rFonts w:ascii="仿宋" w:hAnsi="仿宋" w:eastAsia="仿宋"/>
          <w:bCs/>
          <w:sz w:val="32"/>
          <w:szCs w:val="32"/>
        </w:rPr>
        <w:t>1.</w:t>
      </w:r>
      <w:r>
        <w:rPr>
          <w:rFonts w:hint="eastAsia" w:ascii="仿宋_GB2312" w:eastAsia="仿宋_GB2312"/>
          <w:b/>
          <w:bCs/>
          <w:color w:val="000000"/>
          <w:sz w:val="32"/>
          <w:szCs w:val="32"/>
        </w:rPr>
        <w:t xml:space="preserve"> 一般公共服务支出（类）纪检监察事务（款）行政运行（项）：</w:t>
      </w:r>
      <w:r>
        <w:rPr>
          <w:rFonts w:hint="eastAsia" w:ascii="仿宋_GB2312" w:eastAsia="仿宋_GB2312"/>
          <w:bCs/>
          <w:color w:val="000000"/>
          <w:sz w:val="32"/>
          <w:szCs w:val="32"/>
        </w:rPr>
        <w:t>支出决算1072.96万元，完成预算100%。</w:t>
      </w:r>
      <w:r>
        <w:rPr>
          <w:rFonts w:hint="eastAsia" w:ascii="仿宋_GB2312" w:eastAsia="仿宋_GB2312"/>
          <w:b/>
          <w:bCs/>
          <w:color w:val="000000"/>
          <w:sz w:val="32"/>
          <w:szCs w:val="32"/>
        </w:rPr>
        <w:t>一般公共服务支出（类）纪检监察事务（款）一般行政管理事务（项）：</w:t>
      </w:r>
      <w:r>
        <w:rPr>
          <w:rFonts w:hint="eastAsia" w:ascii="仿宋_GB2312" w:eastAsia="仿宋_GB2312"/>
          <w:bCs/>
          <w:color w:val="000000"/>
          <w:sz w:val="32"/>
          <w:szCs w:val="32"/>
        </w:rPr>
        <w:t>支出决算3.4万元，完成预算100%。</w:t>
      </w:r>
      <w:r>
        <w:rPr>
          <w:rFonts w:hint="eastAsia" w:ascii="仿宋_GB2312" w:eastAsia="仿宋_GB2312"/>
          <w:b/>
          <w:bCs/>
          <w:color w:val="000000"/>
          <w:sz w:val="32"/>
          <w:szCs w:val="32"/>
        </w:rPr>
        <w:t>一般公共服务支出（类）纪检监察事务（款）大案要</w:t>
      </w:r>
      <w:r>
        <w:rPr>
          <w:rStyle w:val="14"/>
          <w:rFonts w:ascii="仿宋" w:hAnsi="仿宋" w:eastAsia="仿宋"/>
          <w:bCs/>
          <w:sz w:val="32"/>
          <w:szCs w:val="32"/>
        </w:rPr>
        <w:t>案查处</w:t>
      </w:r>
      <w:r>
        <w:rPr>
          <w:rStyle w:val="14"/>
          <w:rFonts w:hint="eastAsia" w:ascii="仿宋" w:hAnsi="仿宋" w:eastAsia="仿宋"/>
          <w:bCs/>
          <w:sz w:val="32"/>
          <w:szCs w:val="32"/>
        </w:rPr>
        <w:t>（项）：</w:t>
      </w:r>
      <w:r>
        <w:rPr>
          <w:rStyle w:val="14"/>
          <w:rFonts w:hint="eastAsia" w:ascii="仿宋" w:hAnsi="仿宋" w:eastAsia="仿宋"/>
          <w:b w:val="0"/>
          <w:bCs/>
          <w:sz w:val="32"/>
          <w:szCs w:val="32"/>
        </w:rPr>
        <w:t>支出决算47万元，完成预算100%。</w:t>
      </w:r>
      <w:r>
        <w:rPr>
          <w:rFonts w:hint="eastAsia" w:ascii="仿宋_GB2312" w:eastAsia="仿宋_GB2312"/>
          <w:b/>
          <w:bCs/>
          <w:color w:val="000000"/>
          <w:sz w:val="32"/>
          <w:szCs w:val="32"/>
        </w:rPr>
        <w:t>一般公共服务支出（类）纪检监察事务（款）事业运行</w:t>
      </w:r>
      <w:r>
        <w:rPr>
          <w:rStyle w:val="14"/>
          <w:rFonts w:hint="eastAsia" w:ascii="仿宋" w:hAnsi="仿宋" w:eastAsia="仿宋"/>
          <w:bCs/>
          <w:sz w:val="32"/>
          <w:szCs w:val="32"/>
        </w:rPr>
        <w:t>（项）：</w:t>
      </w:r>
      <w:r>
        <w:rPr>
          <w:rStyle w:val="14"/>
          <w:rFonts w:hint="eastAsia" w:ascii="仿宋" w:hAnsi="仿宋" w:eastAsia="仿宋"/>
          <w:b w:val="0"/>
          <w:bCs/>
          <w:sz w:val="32"/>
          <w:szCs w:val="32"/>
        </w:rPr>
        <w:t>支出决算85.82万元，完成预算100%。</w:t>
      </w:r>
      <w:r>
        <w:rPr>
          <w:rFonts w:hint="eastAsia" w:ascii="仿宋_GB2312" w:eastAsia="仿宋_GB2312"/>
          <w:b/>
          <w:bCs/>
          <w:color w:val="000000"/>
          <w:sz w:val="32"/>
          <w:szCs w:val="32"/>
        </w:rPr>
        <w:t>一般公共服务支出（类）纪检监察事务（款）其他纪检监察事务支出</w:t>
      </w:r>
      <w:r>
        <w:rPr>
          <w:rStyle w:val="14"/>
          <w:rFonts w:hint="eastAsia" w:ascii="仿宋" w:hAnsi="仿宋" w:eastAsia="仿宋"/>
          <w:bCs/>
          <w:sz w:val="32"/>
          <w:szCs w:val="32"/>
        </w:rPr>
        <w:t>（项）：</w:t>
      </w:r>
      <w:r>
        <w:rPr>
          <w:rStyle w:val="14"/>
          <w:rFonts w:hint="eastAsia" w:ascii="仿宋" w:hAnsi="仿宋" w:eastAsia="仿宋"/>
          <w:b w:val="0"/>
          <w:bCs/>
          <w:sz w:val="32"/>
          <w:szCs w:val="32"/>
        </w:rPr>
        <w:t>支出决算520.94万元，完成预算100%。</w:t>
      </w:r>
    </w:p>
    <w:p>
      <w:pPr>
        <w:spacing w:line="600" w:lineRule="exact"/>
        <w:ind w:firstLine="642" w:firstLineChars="200"/>
        <w:rPr>
          <w:rFonts w:ascii="仿宋" w:hAnsi="仿宋" w:eastAsia="仿宋"/>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社会保障和就业（类）人力资源和社会保障管理事务（款）引进人才费用（项）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社会保障和就业（类）行政事业单位养老支出（款）机关事业单位基本养老保险缴费支出（项）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支出决算为125.86万元，完成预算100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社会保障和就业（类）行政事业单位养老支出（款）机关事业单位职业年金缴费支出（项）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支出决算为19.02万元，完成预算100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社会保障和就业（类）行政事业单位养老支出（款）其他行政事业单位养老支出（项））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支出决算为39.29万元，完成预算100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ascii="仿宋" w:hAnsi="仿宋" w:eastAsia="仿宋"/>
          <w:bCs/>
          <w:sz w:val="32"/>
          <w:szCs w:val="32"/>
        </w:rPr>
        <w:t>社会保障和就业（类）抚恤（款）其他优抚支出（项）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支出决算为2.85万元，完成预算100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（类）计划生育事务（款）其他计划生育事务支出（项）</w:t>
      </w:r>
      <w:r>
        <w:rPr>
          <w:rStyle w:val="14"/>
          <w:rFonts w:ascii="仿宋" w:hAnsi="仿宋" w:eastAsia="仿宋"/>
          <w:bCs/>
          <w:sz w:val="32"/>
          <w:szCs w:val="32"/>
        </w:rPr>
        <w:t>:</w:t>
      </w:r>
      <w:r>
        <w:rPr>
          <w:rStyle w:val="14"/>
          <w:rFonts w:hint="eastAsia" w:ascii="仿宋" w:hAnsi="仿宋" w:eastAsia="仿宋"/>
          <w:b w:val="0"/>
          <w:bCs/>
          <w:sz w:val="32"/>
          <w:szCs w:val="32"/>
        </w:rPr>
        <w:t>支出决算为0.08万元，完成预算100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（类）行政事业单位医疗（款）行政单位医疗（项）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支出决算为47.2万元，完成预算100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_GB2312" w:eastAsia="仿宋_GB2312"/>
          <w:color w:val="000000"/>
          <w:sz w:val="32"/>
          <w:szCs w:val="32"/>
        </w:rPr>
      </w:pPr>
      <w:r>
        <w:rPr>
          <w:rFonts w:hint="eastAsia" w:ascii="仿宋_GB2312" w:eastAsia="仿宋_GB2312"/>
          <w:b/>
          <w:bCs/>
          <w:color w:val="000000"/>
          <w:sz w:val="32"/>
          <w:szCs w:val="32"/>
        </w:rPr>
        <w:t>4.住房保障支出（类）住房改革支出（款）住房公积金（项）:</w:t>
      </w:r>
      <w:r>
        <w:rPr>
          <w:rFonts w:hint="eastAsia" w:ascii="仿宋_GB2312" w:eastAsia="仿宋_GB2312"/>
          <w:bCs/>
          <w:color w:val="000000"/>
          <w:sz w:val="32"/>
          <w:szCs w:val="32"/>
        </w:rPr>
        <w:t>支出决算为148.51万元，完成预算100%</w:t>
      </w:r>
      <w:r>
        <w:rPr>
          <w:rFonts w:hint="eastAsia" w:ascii="仿宋_GB2312" w:eastAsia="仿宋_GB2312"/>
          <w:color w:val="000000"/>
          <w:sz w:val="32"/>
          <w:szCs w:val="32"/>
        </w:rPr>
        <w:t>。</w:t>
      </w:r>
    </w:p>
    <w:p>
      <w:pPr>
        <w:spacing w:line="600" w:lineRule="exact"/>
        <w:rPr>
          <w:rFonts w:ascii="仿宋" w:hAnsi="仿宋" w:eastAsia="仿宋"/>
          <w:b/>
          <w:sz w:val="32"/>
          <w:szCs w:val="32"/>
        </w:rPr>
      </w:pPr>
    </w:p>
    <w:p>
      <w:pPr>
        <w:tabs>
          <w:tab w:val="right" w:pos="8306"/>
        </w:tabs>
        <w:spacing w:line="600" w:lineRule="exact"/>
        <w:ind w:firstLine="640"/>
        <w:outlineLvl w:val="1"/>
        <w:rPr>
          <w:rStyle w:val="25"/>
        </w:rPr>
      </w:pPr>
      <w:bookmarkStart w:id="32" w:name="_Toc15396608"/>
      <w:bookmarkStart w:id="3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2"/>
      <w:bookmarkEnd w:id="33"/>
      <w:r>
        <w:rPr>
          <w:rStyle w:val="25"/>
          <w:rFonts w:ascii="黑体" w:hAnsi="黑体" w:eastAsia="黑体"/>
          <w:b w:val="0"/>
        </w:rPr>
        <w:tab/>
      </w:r>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2021年一般公共预算财政拨款基本支出2110.54万元，其中：</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人员经费1566.43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日常</w:t>
      </w:r>
      <w:r>
        <w:rPr>
          <w:rFonts w:hint="eastAsia" w:eastAsia="方正仿宋_GBK"/>
          <w:sz w:val="33"/>
          <w:szCs w:val="33"/>
          <w:lang w:val="zh-CN"/>
        </w:rPr>
        <w:t>公用经费544.11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numPr>
          <w:ilvl w:val="0"/>
          <w:numId w:val="0"/>
        </w:numPr>
        <w:spacing w:line="600" w:lineRule="exact"/>
        <w:ind w:firstLine="640" w:firstLineChars="200"/>
        <w:rPr>
          <w:rFonts w:hint="eastAsia" w:ascii="黑体" w:hAnsi="黑体" w:eastAsia="黑体"/>
          <w:b w:val="0"/>
          <w:bCs/>
          <w:color w:val="000000"/>
          <w:sz w:val="32"/>
          <w:szCs w:val="32"/>
          <w:lang w:val="en-US" w:eastAsia="zh-CN"/>
        </w:rPr>
      </w:pPr>
    </w:p>
    <w:p>
      <w:pPr>
        <w:numPr>
          <w:ilvl w:val="0"/>
          <w:numId w:val="0"/>
        </w:numPr>
        <w:spacing w:line="600" w:lineRule="exact"/>
        <w:ind w:firstLine="640" w:firstLineChars="200"/>
        <w:rPr>
          <w:rStyle w:val="25"/>
          <w:rFonts w:hint="eastAsia" w:ascii="黑体" w:hAnsi="黑体" w:eastAsia="黑体"/>
          <w:b w:val="0"/>
          <w:bCs/>
        </w:rPr>
      </w:pPr>
      <w:r>
        <w:rPr>
          <w:rFonts w:hint="eastAsia" w:ascii="黑体" w:hAnsi="黑体" w:eastAsia="黑体"/>
          <w:b w:val="0"/>
          <w:bCs/>
          <w:color w:val="000000"/>
          <w:sz w:val="32"/>
          <w:szCs w:val="32"/>
          <w:lang w:val="en-US" w:eastAsia="zh-CN"/>
        </w:rPr>
        <w:t>七、</w:t>
      </w:r>
      <w:r>
        <w:rPr>
          <w:rFonts w:hint="eastAsia" w:ascii="黑体" w:hAnsi="黑体" w:eastAsia="黑体"/>
          <w:b w:val="0"/>
          <w:bCs/>
          <w:color w:val="000000"/>
          <w:sz w:val="32"/>
          <w:szCs w:val="32"/>
        </w:rPr>
        <w:t>一</w:t>
      </w:r>
      <w:r>
        <w:rPr>
          <w:rStyle w:val="25"/>
          <w:rFonts w:hint="eastAsia" w:ascii="黑体" w:hAnsi="黑体" w:eastAsia="黑体"/>
          <w:b w:val="0"/>
          <w:bCs/>
        </w:rPr>
        <w:t>般公共预算财政拨款</w:t>
      </w:r>
      <w:r>
        <w:rPr>
          <w:rStyle w:val="25"/>
          <w:rFonts w:hint="eastAsia" w:ascii="黑体" w:hAnsi="黑体" w:eastAsia="黑体"/>
          <w:b w:val="0"/>
          <w:bCs/>
          <w:lang w:eastAsia="zh-CN"/>
        </w:rPr>
        <w:t>项目</w:t>
      </w:r>
      <w:r>
        <w:rPr>
          <w:rStyle w:val="25"/>
          <w:rFonts w:hint="eastAsia" w:ascii="黑体" w:hAnsi="黑体" w:eastAsia="黑体"/>
          <w:b w:val="0"/>
          <w:bCs/>
        </w:rPr>
        <w:t>支出决算情况说明</w:t>
      </w:r>
    </w:p>
    <w:p>
      <w:pPr>
        <w:spacing w:line="600" w:lineRule="exact"/>
        <w:ind w:firstLine="660" w:firstLineChars="200"/>
        <w:rPr>
          <w:rFonts w:hint="eastAsia" w:eastAsia="方正仿宋_GBK"/>
          <w:sz w:val="33"/>
          <w:szCs w:val="33"/>
          <w:lang w:val="zh-CN" w:eastAsia="zh-CN"/>
        </w:rPr>
      </w:pPr>
      <w:r>
        <w:rPr>
          <w:rFonts w:hint="eastAsia" w:eastAsia="方正仿宋_GBK"/>
          <w:sz w:val="33"/>
          <w:szCs w:val="33"/>
          <w:lang w:val="zh-CN"/>
        </w:rPr>
        <w:t>202</w:t>
      </w:r>
      <w:r>
        <w:rPr>
          <w:rFonts w:hint="eastAsia" w:eastAsia="方正仿宋_GBK"/>
          <w:sz w:val="33"/>
          <w:szCs w:val="33"/>
          <w:lang w:val="en-US" w:eastAsia="zh-CN"/>
        </w:rPr>
        <w:t>1</w:t>
      </w:r>
      <w:r>
        <w:rPr>
          <w:rFonts w:hint="eastAsia" w:eastAsia="方正仿宋_GBK"/>
          <w:sz w:val="33"/>
          <w:szCs w:val="33"/>
          <w:lang w:val="zh-CN"/>
        </w:rPr>
        <w:t>年一般公共预算财政拨款</w:t>
      </w:r>
      <w:r>
        <w:rPr>
          <w:rFonts w:hint="eastAsia" w:eastAsia="方正仿宋_GBK"/>
          <w:sz w:val="33"/>
          <w:szCs w:val="33"/>
          <w:lang w:val="zh-CN" w:eastAsia="zh-CN"/>
        </w:rPr>
        <w:t>项目</w:t>
      </w:r>
      <w:r>
        <w:rPr>
          <w:rFonts w:hint="eastAsia" w:eastAsia="方正仿宋_GBK"/>
          <w:sz w:val="33"/>
          <w:szCs w:val="33"/>
          <w:lang w:val="zh-CN"/>
        </w:rPr>
        <w:t>支出</w:t>
      </w:r>
      <w:r>
        <w:rPr>
          <w:rFonts w:hint="eastAsia" w:eastAsia="方正仿宋_GBK"/>
          <w:sz w:val="33"/>
          <w:szCs w:val="33"/>
          <w:lang w:val="en-US" w:eastAsia="zh-CN"/>
        </w:rPr>
        <w:t>233.4</w:t>
      </w:r>
      <w:r>
        <w:rPr>
          <w:rFonts w:hint="eastAsia" w:eastAsia="方正仿宋_GBK"/>
          <w:sz w:val="33"/>
          <w:szCs w:val="33"/>
          <w:lang w:val="zh-CN"/>
        </w:rPr>
        <w:t>万元，其中：项目</w:t>
      </w:r>
      <w:r>
        <w:rPr>
          <w:rFonts w:hint="eastAsia" w:eastAsia="方正仿宋_GBK"/>
          <w:sz w:val="33"/>
          <w:szCs w:val="33"/>
          <w:lang w:val="zh-CN" w:eastAsia="zh-CN"/>
        </w:rPr>
        <w:t>支出</w:t>
      </w:r>
      <w:r>
        <w:rPr>
          <w:rFonts w:hint="eastAsia" w:eastAsia="方正仿宋_GBK"/>
          <w:sz w:val="33"/>
          <w:szCs w:val="33"/>
          <w:lang w:val="en-US" w:eastAsia="zh-CN"/>
        </w:rPr>
        <w:t>233.4</w:t>
      </w:r>
      <w:r>
        <w:rPr>
          <w:rFonts w:hint="eastAsia" w:eastAsia="方正仿宋_GBK"/>
          <w:sz w:val="33"/>
          <w:szCs w:val="33"/>
          <w:lang w:val="zh-CN"/>
        </w:rPr>
        <w:t>万元</w:t>
      </w:r>
      <w:r>
        <w:rPr>
          <w:rFonts w:hint="eastAsia" w:eastAsia="方正仿宋_GBK"/>
          <w:sz w:val="33"/>
          <w:szCs w:val="33"/>
          <w:lang w:val="zh-CN" w:eastAsia="zh-CN"/>
        </w:rPr>
        <w:t>，主要用于：项目经费支出</w:t>
      </w:r>
      <w:r>
        <w:rPr>
          <w:rFonts w:hint="eastAsia" w:eastAsia="方正仿宋_GBK"/>
          <w:sz w:val="33"/>
          <w:szCs w:val="33"/>
          <w:lang w:val="en-US" w:eastAsia="zh-CN"/>
        </w:rPr>
        <w:t>233.4</w:t>
      </w:r>
      <w:r>
        <w:rPr>
          <w:rFonts w:hint="eastAsia" w:eastAsia="方正仿宋_GBK"/>
          <w:sz w:val="33"/>
          <w:szCs w:val="33"/>
          <w:lang w:val="zh-CN"/>
        </w:rPr>
        <w:t>万元</w:t>
      </w:r>
      <w:r>
        <w:rPr>
          <w:rFonts w:hint="eastAsia" w:eastAsia="方正仿宋_GBK"/>
          <w:sz w:val="33"/>
          <w:szCs w:val="33"/>
          <w:lang w:val="zh-CN" w:eastAsia="zh-CN"/>
        </w:rPr>
        <w:t>，包括</w:t>
      </w:r>
      <w:r>
        <w:rPr>
          <w:rFonts w:hint="eastAsia" w:eastAsia="方正仿宋_GBK"/>
          <w:sz w:val="33"/>
          <w:szCs w:val="33"/>
          <w:lang w:val="zh-CN"/>
        </w:rPr>
        <w:t>差旅费</w:t>
      </w:r>
      <w:r>
        <w:rPr>
          <w:rFonts w:hint="eastAsia" w:eastAsia="方正仿宋_GBK"/>
          <w:sz w:val="33"/>
          <w:szCs w:val="33"/>
          <w:lang w:val="zh-CN" w:eastAsia="zh-CN"/>
        </w:rPr>
        <w:t>、</w:t>
      </w:r>
      <w:r>
        <w:rPr>
          <w:rFonts w:hint="eastAsia" w:eastAsia="方正仿宋_GBK"/>
          <w:sz w:val="33"/>
          <w:szCs w:val="33"/>
          <w:lang w:val="zh-CN"/>
        </w:rPr>
        <w:t>工会经费</w:t>
      </w:r>
      <w:r>
        <w:rPr>
          <w:rFonts w:hint="eastAsia" w:eastAsia="方正仿宋_GBK"/>
          <w:sz w:val="33"/>
          <w:szCs w:val="33"/>
          <w:lang w:val="zh-CN" w:eastAsia="zh-CN"/>
        </w:rPr>
        <w:t>、</w:t>
      </w:r>
      <w:r>
        <w:rPr>
          <w:rFonts w:hint="eastAsia" w:eastAsia="方正仿宋_GBK"/>
          <w:sz w:val="33"/>
          <w:szCs w:val="33"/>
          <w:lang w:val="zh-CN"/>
        </w:rPr>
        <w:t>其他商品和服务支出等</w:t>
      </w:r>
      <w:r>
        <w:rPr>
          <w:rFonts w:hint="eastAsia" w:eastAsia="方正仿宋_GBK"/>
          <w:sz w:val="33"/>
          <w:szCs w:val="33"/>
          <w:lang w:val="zh-CN" w:eastAsia="zh-CN"/>
        </w:rPr>
        <w:t>。</w:t>
      </w:r>
    </w:p>
    <w:p>
      <w:pPr>
        <w:spacing w:line="600" w:lineRule="exact"/>
        <w:ind w:firstLine="640" w:firstLineChars="200"/>
        <w:outlineLvl w:val="1"/>
        <w:rPr>
          <w:rFonts w:hint="eastAsia" w:ascii="黑体" w:eastAsia="黑体"/>
          <w:sz w:val="32"/>
          <w:szCs w:val="32"/>
          <w:lang w:val="en-US" w:eastAsia="zh-CN"/>
        </w:rPr>
      </w:pPr>
      <w:bookmarkStart w:id="34" w:name="_Toc15396609"/>
      <w:bookmarkStart w:id="35" w:name="_Toc15377215"/>
    </w:p>
    <w:p>
      <w:pPr>
        <w:spacing w:line="600" w:lineRule="exact"/>
        <w:ind w:firstLine="640" w:firstLineChars="200"/>
        <w:outlineLvl w:val="1"/>
        <w:rPr>
          <w:rStyle w:val="25"/>
          <w:rFonts w:ascii="黑体" w:hAnsi="黑体" w:eastAsia="黑体"/>
          <w:b w:val="0"/>
        </w:rPr>
      </w:pPr>
      <w:r>
        <w:rPr>
          <w:rFonts w:hint="eastAsia" w:ascii="黑体" w:eastAsia="黑体"/>
          <w:sz w:val="32"/>
          <w:szCs w:val="32"/>
          <w:lang w:val="en-US" w:eastAsia="zh-CN"/>
        </w:rPr>
        <w:t>八</w:t>
      </w:r>
      <w:r>
        <w:rPr>
          <w:rFonts w:hint="eastAsia" w:ascii="黑体" w:eastAsia="黑体"/>
          <w:sz w:val="32"/>
          <w:szCs w:val="32"/>
        </w:rPr>
        <w:t>、</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4"/>
      <w:bookmarkEnd w:id="35"/>
    </w:p>
    <w:p>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2021年“三公”经费财政拨款支出决算为92.71万元，完成预算100%。</w:t>
      </w:r>
    </w:p>
    <w:p>
      <w:pPr>
        <w:spacing w:line="600" w:lineRule="exact"/>
        <w:ind w:firstLine="64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pPr>
        <w:spacing w:line="600" w:lineRule="exact"/>
        <w:ind w:firstLine="640"/>
        <w:rPr>
          <w:rFonts w:ascii="仿宋" w:hAnsi="仿宋" w:eastAsia="仿宋"/>
          <w:sz w:val="32"/>
          <w:szCs w:val="32"/>
        </w:rPr>
      </w:pPr>
      <w:r>
        <w:rPr>
          <w:rFonts w:hint="eastAsia" w:eastAsia="方正仿宋_GBK"/>
          <w:sz w:val="33"/>
          <w:szCs w:val="33"/>
          <w:lang w:val="zh-CN"/>
        </w:rPr>
        <w:t>2021年“三公”经费财政拨款支出决算中，因公出国（境）费支出决算0万元，占0%；公务用车购置及运行维护费支出决算84.83万元，占91.5%；公务接待费支出决算7.88万元，</w:t>
      </w:r>
      <w:r>
        <w:rPr>
          <w:rFonts w:hint="eastAsia" w:ascii="仿宋" w:hAnsi="仿宋" w:eastAsia="仿宋"/>
          <w:sz w:val="32"/>
          <w:szCs w:val="32"/>
        </w:rPr>
        <w:t>占8.5</w:t>
      </w:r>
      <w:r>
        <w:rPr>
          <w:rFonts w:ascii="仿宋" w:hAnsi="仿宋" w:eastAsia="仿宋"/>
          <w:sz w:val="32"/>
          <w:szCs w:val="32"/>
        </w:rPr>
        <w:t>%</w:t>
      </w:r>
      <w:r>
        <w:rPr>
          <w:rFonts w:hint="eastAsia" w:ascii="仿宋" w:hAnsi="仿宋" w:eastAsia="仿宋"/>
          <w:sz w:val="32"/>
          <w:szCs w:val="32"/>
        </w:rPr>
        <w:t>。具体情况如下：</w:t>
      </w:r>
    </w:p>
    <w:p>
      <w:pPr>
        <w:pStyle w:val="6"/>
        <w:spacing w:before="93"/>
      </w:pPr>
      <w:r>
        <w:rPr>
          <w:rFonts w:hint="eastAsia"/>
        </w:rPr>
        <w:drawing>
          <wp:inline distT="0" distB="0" distL="0" distR="0">
            <wp:extent cx="4756785" cy="2710815"/>
            <wp:effectExtent l="4445" t="4445" r="889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eastAsia="方正仿宋_GBK"/>
          <w:sz w:val="33"/>
          <w:szCs w:val="33"/>
          <w:lang w:val="zh-CN"/>
        </w:rPr>
        <w:t>0万元，完成预算0%。全年安排因公出国（境）团组0次，出国（境）0人。</w:t>
      </w:r>
    </w:p>
    <w:p>
      <w:pPr>
        <w:spacing w:line="600" w:lineRule="exact"/>
        <w:ind w:firstLine="640"/>
        <w:rPr>
          <w:rFonts w:hint="eastAsia" w:eastAsia="方正仿宋_GBK"/>
          <w:sz w:val="33"/>
          <w:szCs w:val="33"/>
          <w:lang w:val="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eastAsia="方正仿宋_GBK"/>
          <w:sz w:val="33"/>
          <w:szCs w:val="33"/>
          <w:lang w:val="zh-CN"/>
        </w:rPr>
        <w:t>84.83万元,完成预算100%。公务用车购置及运行维护费支出决算比2020年增加45.15万元，增长113.79%。主要原因是2021年购买了2台执法执勤车辆。</w:t>
      </w:r>
    </w:p>
    <w:p>
      <w:pPr>
        <w:spacing w:line="600" w:lineRule="exact"/>
        <w:ind w:firstLine="660" w:firstLineChars="200"/>
        <w:rPr>
          <w:rFonts w:ascii="仿宋_GB2312" w:eastAsia="仿宋_GB2312"/>
          <w:b/>
          <w:sz w:val="32"/>
          <w:szCs w:val="32"/>
        </w:rPr>
      </w:pPr>
      <w:r>
        <w:rPr>
          <w:rFonts w:hint="eastAsia" w:eastAsia="方正仿宋_GBK"/>
          <w:sz w:val="33"/>
          <w:szCs w:val="33"/>
          <w:lang w:val="zh-CN"/>
        </w:rPr>
        <w:t>其中：</w:t>
      </w:r>
      <w:r>
        <w:rPr>
          <w:rFonts w:hint="eastAsia" w:ascii="仿宋_GB2312" w:eastAsia="仿宋_GB2312"/>
          <w:b/>
          <w:sz w:val="32"/>
          <w:szCs w:val="32"/>
        </w:rPr>
        <w:t>公务用车购置支出</w:t>
      </w:r>
      <w:r>
        <w:rPr>
          <w:rFonts w:hint="eastAsia" w:eastAsia="方正仿宋_GBK"/>
          <w:sz w:val="33"/>
          <w:szCs w:val="33"/>
          <w:lang w:val="zh-CN"/>
        </w:rPr>
        <w:t>51.54万元。全年按规定更新购置公务用车2辆，其中：越野车1辆、金额27.19万元，商务车1辆、金额51.54万元，主要用于执法执勤。截至2021年12月底，单位共有公务用车</w:t>
      </w:r>
      <w:r>
        <w:rPr>
          <w:rFonts w:hint="eastAsia" w:eastAsia="方正仿宋_GBK"/>
          <w:sz w:val="33"/>
          <w:szCs w:val="33"/>
          <w:lang w:val="en-US" w:eastAsia="zh-CN"/>
        </w:rPr>
        <w:t>3</w:t>
      </w:r>
      <w:r>
        <w:rPr>
          <w:rFonts w:hint="eastAsia" w:eastAsia="方正仿宋_GBK"/>
          <w:sz w:val="33"/>
          <w:szCs w:val="33"/>
          <w:lang w:val="zh-CN"/>
        </w:rPr>
        <w:t>辆，其中：越野车</w:t>
      </w:r>
      <w:r>
        <w:rPr>
          <w:rFonts w:hint="eastAsia" w:eastAsia="方正仿宋_GBK"/>
          <w:sz w:val="33"/>
          <w:szCs w:val="33"/>
          <w:lang w:val="en-US" w:eastAsia="zh-CN"/>
        </w:rPr>
        <w:t>1</w:t>
      </w:r>
      <w:r>
        <w:rPr>
          <w:rFonts w:hint="eastAsia" w:eastAsia="方正仿宋_GBK"/>
          <w:sz w:val="33"/>
          <w:szCs w:val="33"/>
          <w:lang w:val="zh-CN"/>
        </w:rPr>
        <w:t>辆、商务车</w:t>
      </w:r>
      <w:r>
        <w:rPr>
          <w:rFonts w:hint="eastAsia" w:eastAsia="方正仿宋_GBK"/>
          <w:sz w:val="33"/>
          <w:szCs w:val="33"/>
          <w:lang w:val="en-US" w:eastAsia="zh-CN"/>
        </w:rPr>
        <w:t>2</w:t>
      </w:r>
      <w:r>
        <w:rPr>
          <w:rFonts w:hint="eastAsia" w:eastAsia="方正仿宋_GBK"/>
          <w:sz w:val="33"/>
          <w:szCs w:val="33"/>
          <w:lang w:val="zh-CN"/>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eastAsia="方正仿宋_GBK"/>
          <w:sz w:val="33"/>
          <w:szCs w:val="33"/>
          <w:lang w:val="zh-CN"/>
        </w:rPr>
        <w:t>33.29万元。主要用于执法执勤等所需的公务用车燃料费、维修费、过路过桥费、保险费等支出。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eastAsia="方正仿宋_GBK"/>
          <w:sz w:val="33"/>
          <w:szCs w:val="33"/>
          <w:lang w:val="zh-CN"/>
        </w:rPr>
        <w:t>7.88万元，完成预算100%。公务接待费支出决算比2020年减少0.12万元，下1.5%。主要原因是严格执行中省市关于厉行节约的相关规定，接待主要安排在机关食堂。其中：</w:t>
      </w:r>
    </w:p>
    <w:p>
      <w:pPr>
        <w:spacing w:line="600" w:lineRule="exact"/>
        <w:ind w:firstLine="640"/>
        <w:rPr>
          <w:rFonts w:hint="eastAsia" w:ascii="仿宋_GB2312" w:eastAsia="仿宋_GB2312"/>
          <w:sz w:val="32"/>
          <w:szCs w:val="32"/>
        </w:rPr>
      </w:pPr>
      <w:r>
        <w:rPr>
          <w:rFonts w:hint="eastAsia" w:ascii="仿宋" w:hAnsi="仿宋" w:eastAsia="仿宋"/>
          <w:b/>
          <w:sz w:val="32"/>
          <w:szCs w:val="32"/>
        </w:rPr>
        <w:t>国内公务接待支出</w:t>
      </w:r>
      <w:r>
        <w:rPr>
          <w:rFonts w:hint="eastAsia" w:eastAsia="方正仿宋_GBK"/>
          <w:sz w:val="33"/>
          <w:szCs w:val="33"/>
          <w:lang w:val="zh-CN"/>
        </w:rPr>
        <w:t>7.88万元，主要用于执行公务、开展业务活动开支的交通费、住宿费、用餐费等。国内公务接待150批次，150人次（不包括陪同人员），共计支出7.88万元。</w:t>
      </w:r>
    </w:p>
    <w:p>
      <w:pPr>
        <w:pStyle w:val="6"/>
        <w:ind w:firstLine="642" w:firstLineChars="200"/>
        <w:rPr>
          <w:rFonts w:hint="default" w:eastAsia="仿宋_GB2312"/>
          <w:lang w:val="en-US" w:eastAsia="zh-CN"/>
        </w:rPr>
      </w:pPr>
      <w:r>
        <w:rPr>
          <w:rFonts w:hint="eastAsia" w:ascii="仿宋" w:hAnsi="仿宋" w:eastAsia="仿宋"/>
          <w:b/>
          <w:color w:val="000000"/>
          <w:sz w:val="32"/>
          <w:szCs w:val="32"/>
        </w:rPr>
        <w:t>外事接待支出</w:t>
      </w:r>
      <w:r>
        <w:rPr>
          <w:rFonts w:hint="eastAsia" w:ascii="Times New Roman" w:hAnsi="Times New Roman" w:eastAsia="方正仿宋_GBK" w:cs="Times New Roman"/>
          <w:kern w:val="2"/>
          <w:sz w:val="33"/>
          <w:szCs w:val="33"/>
          <w:lang w:val="en-US" w:eastAsia="zh-CN" w:bidi="ar-SA"/>
        </w:rPr>
        <w:t>0</w:t>
      </w:r>
      <w:r>
        <w:rPr>
          <w:rFonts w:hint="eastAsia" w:ascii="Times New Roman" w:hAnsi="Times New Roman" w:eastAsia="方正仿宋_GBK" w:cs="Times New Roman"/>
          <w:kern w:val="2"/>
          <w:sz w:val="33"/>
          <w:szCs w:val="33"/>
          <w:lang w:val="zh-CN" w:eastAsia="zh-CN" w:bidi="ar-SA"/>
        </w:rPr>
        <w:t>万元，</w:t>
      </w:r>
      <w:r>
        <w:rPr>
          <w:rFonts w:hint="eastAsia" w:ascii="Times New Roman" w:hAnsi="Times New Roman" w:eastAsia="方正仿宋_GBK" w:cs="Times New Roman"/>
          <w:kern w:val="2"/>
          <w:sz w:val="33"/>
          <w:szCs w:val="33"/>
          <w:lang w:val="en-US" w:eastAsia="zh-CN" w:bidi="ar-SA"/>
        </w:rPr>
        <w:t>与2020年持平。</w:t>
      </w:r>
    </w:p>
    <w:p>
      <w:pPr>
        <w:spacing w:line="600" w:lineRule="exact"/>
        <w:ind w:firstLine="640"/>
        <w:outlineLvl w:val="1"/>
        <w:rPr>
          <w:rFonts w:ascii="黑体" w:eastAsia="黑体"/>
          <w:sz w:val="32"/>
          <w:szCs w:val="32"/>
        </w:rPr>
      </w:pPr>
      <w:bookmarkStart w:id="38" w:name="_Toc15377218"/>
      <w:bookmarkStart w:id="39" w:name="_Toc15396610"/>
    </w:p>
    <w:p>
      <w:pPr>
        <w:spacing w:line="600" w:lineRule="exact"/>
        <w:ind w:firstLine="640"/>
        <w:outlineLvl w:val="1"/>
        <w:rPr>
          <w:rStyle w:val="25"/>
          <w:rFonts w:ascii="黑体" w:hAnsi="黑体" w:eastAsia="黑体"/>
        </w:rPr>
      </w:pPr>
      <w:r>
        <w:rPr>
          <w:rFonts w:hint="eastAsia" w:ascii="黑体" w:eastAsia="黑体"/>
          <w:sz w:val="32"/>
          <w:szCs w:val="32"/>
          <w:lang w:val="en-US" w:eastAsia="zh-CN"/>
        </w:rPr>
        <w:t>九</w:t>
      </w:r>
      <w:r>
        <w:rPr>
          <w:rFonts w:hint="eastAsia" w:ascii="黑体" w:eastAsia="黑体"/>
          <w:sz w:val="32"/>
          <w:szCs w:val="32"/>
        </w:rPr>
        <w:t>、</w:t>
      </w:r>
      <w:r>
        <w:rPr>
          <w:rStyle w:val="25"/>
          <w:rFonts w:hint="eastAsia" w:ascii="黑体" w:hAnsi="黑体" w:eastAsia="黑体"/>
          <w:b w:val="0"/>
        </w:rPr>
        <w:t>政府性基金预算支出决算情况说明</w:t>
      </w:r>
      <w:bookmarkEnd w:id="38"/>
      <w:bookmarkEnd w:id="39"/>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2021年政府性基金预算财政拨款支出0万元。</w:t>
      </w:r>
    </w:p>
    <w:p>
      <w:pPr>
        <w:spacing w:line="600" w:lineRule="exact"/>
        <w:ind w:firstLine="640"/>
        <w:rPr>
          <w:rFonts w:ascii="仿宋_GB2312" w:eastAsia="仿宋_GB2312"/>
          <w:sz w:val="32"/>
          <w:szCs w:val="32"/>
        </w:rPr>
      </w:pPr>
    </w:p>
    <w:p>
      <w:pPr>
        <w:numPr>
          <w:ilvl w:val="0"/>
          <w:numId w:val="0"/>
        </w:numPr>
        <w:spacing w:line="600" w:lineRule="exact"/>
        <w:ind w:firstLine="640" w:firstLineChars="200"/>
        <w:outlineLvl w:val="1"/>
        <w:rPr>
          <w:rStyle w:val="25"/>
          <w:rFonts w:ascii="黑体" w:hAnsi="黑体" w:eastAsia="黑体"/>
          <w:b w:val="0"/>
        </w:rPr>
      </w:pPr>
      <w:bookmarkStart w:id="40" w:name="_Toc15396611"/>
      <w:bookmarkStart w:id="41" w:name="_Toc15377219"/>
      <w:r>
        <w:rPr>
          <w:rStyle w:val="25"/>
          <w:rFonts w:hint="eastAsia" w:ascii="黑体" w:hAnsi="黑体" w:eastAsia="黑体"/>
          <w:b w:val="0"/>
          <w:lang w:val="en-US" w:eastAsia="zh-CN"/>
        </w:rPr>
        <w:t>十、</w:t>
      </w:r>
      <w:r>
        <w:rPr>
          <w:rStyle w:val="25"/>
          <w:rFonts w:hint="eastAsia" w:ascii="黑体" w:hAnsi="黑体" w:eastAsia="黑体"/>
          <w:b w:val="0"/>
        </w:rPr>
        <w:t>国有资本经营预算支出决算情况说明</w:t>
      </w:r>
      <w:bookmarkEnd w:id="40"/>
      <w:bookmarkEnd w:id="41"/>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0"/>
        </w:numPr>
        <w:spacing w:line="600" w:lineRule="exact"/>
        <w:ind w:firstLine="640" w:firstLineChars="200"/>
        <w:outlineLvl w:val="1"/>
        <w:rPr>
          <w:rStyle w:val="25"/>
          <w:rFonts w:ascii="黑体" w:hAnsi="黑体" w:eastAsia="黑体"/>
          <w:b w:val="0"/>
        </w:rPr>
      </w:pPr>
      <w:bookmarkStart w:id="42" w:name="_Toc15396612"/>
      <w:bookmarkStart w:id="43" w:name="_Toc15377221"/>
      <w:r>
        <w:rPr>
          <w:rStyle w:val="25"/>
          <w:rFonts w:hint="eastAsia" w:ascii="黑体" w:hAnsi="黑体" w:eastAsia="黑体"/>
          <w:b w:val="0"/>
          <w:lang w:val="en-US" w:eastAsia="zh-CN"/>
        </w:rPr>
        <w:t>十一、</w:t>
      </w:r>
      <w:r>
        <w:rPr>
          <w:rStyle w:val="25"/>
          <w:rFonts w:hint="eastAsia" w:ascii="黑体" w:hAnsi="黑体" w:eastAsia="黑体"/>
          <w:b w:val="0"/>
        </w:rPr>
        <w:t>其他重要事项的情况说明</w:t>
      </w:r>
      <w:bookmarkEnd w:id="42"/>
      <w:bookmarkEnd w:id="43"/>
    </w:p>
    <w:p>
      <w:pPr>
        <w:spacing w:line="600" w:lineRule="exact"/>
        <w:ind w:firstLine="642"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2021年，中共邻水县纪委机关运行经费支出544.12万元，比2020年增加187.98万元，增长52.78%。主要原因是机关运行经费支出包含了部分项目经费支出。</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政府采购支出总额10.8万元，其中：政府采购货物支出10.8万元、政府采购工程支出0万元、政府采购服务支出0万元。主要用于办公。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截至2021年12月31日，共有车辆</w:t>
      </w:r>
      <w:r>
        <w:rPr>
          <w:rFonts w:hint="eastAsia" w:eastAsia="方正仿宋_GBK"/>
          <w:sz w:val="33"/>
          <w:szCs w:val="33"/>
          <w:lang w:val="en-US" w:eastAsia="zh-CN"/>
        </w:rPr>
        <w:t>3</w:t>
      </w:r>
      <w:r>
        <w:rPr>
          <w:rFonts w:hint="eastAsia" w:eastAsia="方正仿宋_GBK"/>
          <w:sz w:val="33"/>
          <w:szCs w:val="33"/>
          <w:lang w:val="zh-CN"/>
        </w:rPr>
        <w:t>辆，其中：主要领导干部用车0辆、机要通信用车0辆、应急保障用车0辆、其他用车</w:t>
      </w:r>
      <w:r>
        <w:rPr>
          <w:rFonts w:hint="eastAsia" w:eastAsia="方正仿宋_GBK"/>
          <w:sz w:val="33"/>
          <w:szCs w:val="33"/>
          <w:lang w:val="en-US" w:eastAsia="zh-CN"/>
        </w:rPr>
        <w:t>3</w:t>
      </w:r>
      <w:r>
        <w:rPr>
          <w:rFonts w:hint="eastAsia" w:eastAsia="方正仿宋_GBK"/>
          <w:sz w:val="33"/>
          <w:szCs w:val="33"/>
          <w:lang w:val="zh-CN"/>
        </w:rPr>
        <w:t>辆，其他用车主要是用于执法执勤。单价50万元以上通用设备0台（套），单价100万元以上专用设备0台（套）。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根据预算绩效管理要求，本部门在2021年度预算编制阶段，组织对派驻、办信办案、信息化建设项目等1个项目开展了预算事前绩效评估，对1个项目编制了绩效目标，预算执行过程中，选取1个项目开展绩效监控，年终执行完毕后，对1个项目开展了绩效自评。</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本部门按要求对202</w:t>
      </w:r>
      <w:r>
        <w:rPr>
          <w:rFonts w:hint="eastAsia" w:eastAsia="方正仿宋_GBK"/>
          <w:sz w:val="33"/>
          <w:szCs w:val="33"/>
          <w:lang w:val="en-US" w:eastAsia="zh-CN"/>
        </w:rPr>
        <w:t>1</w:t>
      </w:r>
      <w:r>
        <w:rPr>
          <w:rFonts w:hint="eastAsia" w:eastAsia="方正仿宋_GBK"/>
          <w:sz w:val="33"/>
          <w:szCs w:val="33"/>
          <w:lang w:val="zh-CN"/>
        </w:rPr>
        <w:t>年部门整体支出开展绩效自评，从评价情况来看部门整体支出情况良好。本部门还自行组织了</w:t>
      </w:r>
      <w:r>
        <w:rPr>
          <w:rFonts w:hint="eastAsia" w:eastAsia="方正仿宋_GBK"/>
          <w:sz w:val="33"/>
          <w:szCs w:val="33"/>
          <w:lang w:val="en-US" w:eastAsia="zh-CN"/>
        </w:rPr>
        <w:t>1</w:t>
      </w:r>
      <w:r>
        <w:rPr>
          <w:rFonts w:hint="eastAsia" w:eastAsia="方正仿宋_GBK"/>
          <w:sz w:val="33"/>
          <w:szCs w:val="33"/>
          <w:lang w:val="zh-CN"/>
        </w:rPr>
        <w:t>个项目支出绩效评价，从评价情况来看项目总体完成情况较好，达到了项目预期目标。</w:t>
      </w:r>
    </w:p>
    <w:p>
      <w:pPr>
        <w:numPr>
          <w:ilvl w:val="0"/>
          <w:numId w:val="0"/>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p>
    <w:p>
      <w:pPr>
        <w:pStyle w:val="6"/>
        <w:numPr>
          <w:ilvl w:val="0"/>
          <w:numId w:val="0"/>
        </w:numPr>
        <w:ind w:firstLine="660" w:firstLineChars="20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本部</w:t>
      </w:r>
      <w:r>
        <w:rPr>
          <w:rFonts w:hint="eastAsia" w:ascii="Times New Roman" w:hAnsi="Times New Roman" w:eastAsia="方正仿宋_GBK" w:cs="Times New Roman"/>
          <w:kern w:val="2"/>
          <w:sz w:val="33"/>
          <w:szCs w:val="33"/>
          <w:lang w:val="en-US" w:eastAsia="zh-CN" w:bidi="ar-SA"/>
        </w:rPr>
        <w:t>门在2021年度部门决算中反映“派驻、办信办案、信息化建设等经费”等1个项目绩效目标实际完成情况。（本部门项目绩效目标全部进行公开，公开内容包括全部项目完成情况综述和完成情况表）。</w:t>
      </w:r>
    </w:p>
    <w:p>
      <w:pPr>
        <w:spacing w:line="600" w:lineRule="exact"/>
        <w:ind w:firstLine="660" w:firstLineChars="200"/>
        <w:rPr>
          <w:rFonts w:hint="eastAsia" w:eastAsia="方正仿宋_GBK"/>
          <w:sz w:val="33"/>
          <w:szCs w:val="33"/>
          <w:lang w:val="zh-CN"/>
        </w:rPr>
      </w:pPr>
      <w:r>
        <w:rPr>
          <w:rFonts w:hint="eastAsia" w:ascii="Times New Roman" w:hAnsi="Times New Roman" w:eastAsia="方正仿宋_GBK" w:cs="Times New Roman"/>
          <w:kern w:val="2"/>
          <w:sz w:val="33"/>
          <w:szCs w:val="33"/>
          <w:lang w:val="en-US" w:eastAsia="zh-CN" w:bidi="ar-SA"/>
        </w:rPr>
        <w:t>（1）派驻、办信办案、信息化建设等经费项目绩效目标完成情况综述。项目全年预算数233.4万元，执行数为233.4万元，完成预算的100%。通过项目实施，</w:t>
      </w:r>
      <w:r>
        <w:rPr>
          <w:rFonts w:hint="eastAsia" w:ascii="Times New Roman" w:hAnsi="Times New Roman" w:eastAsia="方正仿宋_GBK" w:cs="Times New Roman"/>
          <w:kern w:val="2"/>
          <w:sz w:val="33"/>
          <w:szCs w:val="33"/>
          <w:lang w:val="zh-CN" w:eastAsia="zh-CN" w:bidi="ar-SA"/>
        </w:rPr>
        <w:t>全年开展监督检查次数及发送短信条数等均完成了目标，截至年底，对涉嫌职务违法人员移送检察机关依法审查起诉人数未达到目标</w:t>
      </w:r>
      <w:r>
        <w:rPr>
          <w:rFonts w:hint="eastAsia" w:ascii="Times New Roman" w:hAnsi="Times New Roman" w:eastAsia="方正仿宋_GBK" w:cs="Times New Roman"/>
          <w:kern w:val="2"/>
          <w:sz w:val="33"/>
          <w:szCs w:val="33"/>
          <w:lang w:val="en-US" w:eastAsia="zh-CN" w:bidi="ar-SA"/>
        </w:rPr>
        <w:t>，发现的主要问题：</w:t>
      </w:r>
      <w:r>
        <w:rPr>
          <w:rFonts w:hint="eastAsia" w:ascii="Times New Roman" w:hAnsi="Times New Roman" w:eastAsia="方正仿宋_GBK" w:cs="Times New Roman"/>
          <w:kern w:val="2"/>
          <w:sz w:val="33"/>
          <w:szCs w:val="33"/>
          <w:lang w:val="zh-CN" w:eastAsia="zh-CN" w:bidi="ar-SA"/>
        </w:rPr>
        <w:t>1.对政治生态研判还不精准。精准施策不够，政治生态“雾霾”现象突出；2.对干部作风抓得还不严、紧。整治形式主义、官僚主义力度不够，监督检查力度和质量还不够；3.对“三不”机制推进还不给力。“关键少数”、重要岗位及易发多发系统和行业领域风险防控机制还不够健全，大要案的震慑功效还未有效发挥。下一步改进措施：1.强化政治监督。进一步加大监督检查的力度和质量；2.深化为民初心。持续推进“人民阅卷•广安行动”，用好用活“1+N”对口联系服务群众机制。3.固化反腐败高压态势。加大违纪违法案件查处力度，尤其是违反政治纪律和政治规矩的典型案件，始终以“零容忍”的态度，做到发现一起、查处一起、通报一起</w:t>
      </w:r>
      <w:r>
        <w:rPr>
          <w:rFonts w:hint="eastAsia" w:eastAsia="方正仿宋_GBK" w:cs="Times New Roman"/>
          <w:kern w:val="2"/>
          <w:sz w:val="33"/>
          <w:szCs w:val="33"/>
          <w:lang w:val="zh-CN" w:eastAsia="zh-CN" w:bidi="ar-SA"/>
        </w:rPr>
        <w:t>。</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4"/>
                <w:szCs w:val="24"/>
              </w:rPr>
              <w:t>派驻、办信办案、信息化建设等经费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中共邻水县纪委</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233.4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233.4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233.4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233.4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49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jc w:val="left"/>
              <w:textAlignment w:val="top"/>
              <w:rPr>
                <w:rFonts w:ascii="宋体" w:hAnsi="宋体" w:eastAsia="宋体" w:cs="宋体"/>
                <w:kern w:val="2"/>
                <w:sz w:val="24"/>
                <w:szCs w:val="24"/>
                <w:lang w:val="en-US" w:eastAsia="zh-CN" w:bidi="ar-SA"/>
              </w:rPr>
            </w:pPr>
            <w:r>
              <w:rPr>
                <w:rFonts w:ascii="宋体" w:hAnsi="宋体" w:cs="宋体"/>
                <w:sz w:val="24"/>
              </w:rPr>
              <w:t>强化政治监督</w:t>
            </w:r>
            <w:r>
              <w:rPr>
                <w:rFonts w:hint="eastAsia" w:ascii="宋体" w:hAnsi="宋体" w:cs="宋体"/>
                <w:sz w:val="24"/>
              </w:rPr>
              <w:t>，深化为民初心，固化反腐败高压态势，优化自身建设。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rPr>
                <w:rFonts w:ascii="宋体" w:hAnsi="宋体" w:eastAsia="宋体" w:cs="宋体"/>
                <w:b/>
                <w:kern w:val="2"/>
                <w:sz w:val="24"/>
                <w:szCs w:val="24"/>
                <w:lang w:val="en-US" w:eastAsia="zh-CN" w:bidi="ar-SA"/>
              </w:rPr>
            </w:pPr>
            <w:r>
              <w:rPr>
                <w:rFonts w:ascii="宋体" w:hAnsi="宋体" w:cs="宋体"/>
                <w:sz w:val="24"/>
              </w:rPr>
              <w:t>强化政治监督</w:t>
            </w:r>
            <w:r>
              <w:rPr>
                <w:rFonts w:hint="eastAsia" w:ascii="宋体" w:hAnsi="宋体" w:cs="宋体"/>
                <w:sz w:val="24"/>
              </w:rPr>
              <w:t>，深化为民初心，固化反腐败高压态势，优化自身建设。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55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2"/>
                <w:szCs w:val="28"/>
                <w:lang w:val="en-US" w:eastAsia="zh-CN" w:bidi="ar-SA"/>
              </w:rPr>
            </w:pPr>
            <w:r>
              <w:rPr>
                <w:rFonts w:ascii="仿宋_GB2312" w:hAnsi="仿宋_GB2312" w:eastAsia="仿宋_GB2312" w:cs="仿宋_GB2312"/>
                <w:sz w:val="28"/>
                <w:szCs w:val="28"/>
              </w:rPr>
              <w:t>监督展开次数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大于等于</w:t>
            </w:r>
            <w:r>
              <w:rPr>
                <w:rFonts w:hint="eastAsia" w:ascii="仿宋_GB2312" w:hAnsi="仿宋_GB2312" w:eastAsia="仿宋_GB2312" w:cs="仿宋_GB2312"/>
                <w:sz w:val="28"/>
                <w:szCs w:val="28"/>
              </w:rPr>
              <w:t>100次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大于等于</w:t>
            </w:r>
            <w:r>
              <w:rPr>
                <w:rFonts w:hint="eastAsia" w:ascii="仿宋_GB2312" w:hAnsi="仿宋_GB2312" w:eastAsia="仿宋_GB2312" w:cs="仿宋_GB2312"/>
                <w:sz w:val="28"/>
                <w:szCs w:val="28"/>
              </w:rPr>
              <w:t>100次</w:t>
            </w:r>
          </w:p>
        </w:tc>
      </w:tr>
      <w:tr>
        <w:tblPrEx>
          <w:tblCellMar>
            <w:top w:w="0" w:type="dxa"/>
            <w:left w:w="0" w:type="dxa"/>
            <w:bottom w:w="0" w:type="dxa"/>
            <w:right w:w="0" w:type="dxa"/>
          </w:tblCellMar>
        </w:tblPrEx>
        <w:trPr>
          <w:trHeight w:val="74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2"/>
                <w:szCs w:val="28"/>
                <w:lang w:val="en-US" w:eastAsia="zh-CN" w:bidi="ar-SA"/>
              </w:rPr>
            </w:pPr>
            <w:r>
              <w:rPr>
                <w:rFonts w:ascii="仿宋_GB2312" w:hAnsi="仿宋_GB2312" w:eastAsia="仿宋_GB2312" w:cs="仿宋_GB2312"/>
                <w:sz w:val="28"/>
                <w:szCs w:val="28"/>
              </w:rPr>
              <w:t>微信公众号关注人数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达到</w:t>
            </w:r>
            <w:r>
              <w:rPr>
                <w:rFonts w:hint="eastAsia" w:ascii="仿宋_GB2312" w:hAnsi="仿宋_GB2312" w:eastAsia="仿宋_GB2312" w:cs="仿宋_GB2312"/>
                <w:sz w:val="28"/>
                <w:szCs w:val="28"/>
              </w:rPr>
              <w:t>18000人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达到</w:t>
            </w:r>
            <w:r>
              <w:rPr>
                <w:rFonts w:hint="eastAsia" w:ascii="仿宋_GB2312" w:hAnsi="仿宋_GB2312" w:eastAsia="仿宋_GB2312" w:cs="仿宋_GB2312"/>
                <w:sz w:val="28"/>
                <w:szCs w:val="28"/>
              </w:rPr>
              <w:t>18000人</w:t>
            </w:r>
          </w:p>
        </w:tc>
      </w:tr>
      <w:tr>
        <w:tblPrEx>
          <w:tblCellMar>
            <w:top w:w="0" w:type="dxa"/>
            <w:left w:w="0" w:type="dxa"/>
            <w:bottom w:w="0" w:type="dxa"/>
            <w:right w:w="0" w:type="dxa"/>
          </w:tblCellMar>
        </w:tblPrEx>
        <w:trPr>
          <w:trHeight w:val="22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微信公众号推送时效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每天推送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每天</w:t>
            </w:r>
            <w:r>
              <w:rPr>
                <w:rFonts w:ascii="仿宋_GB2312" w:hAnsi="仿宋_GB2312" w:eastAsia="仿宋_GB2312" w:cs="仿宋_GB2312"/>
                <w:sz w:val="28"/>
                <w:szCs w:val="28"/>
              </w:rPr>
              <w:t>推送</w:t>
            </w:r>
          </w:p>
        </w:tc>
      </w:tr>
      <w:tr>
        <w:tblPrEx>
          <w:tblCellMar>
            <w:top w:w="0" w:type="dxa"/>
            <w:left w:w="0" w:type="dxa"/>
            <w:bottom w:w="0" w:type="dxa"/>
            <w:right w:w="0" w:type="dxa"/>
          </w:tblCellMar>
        </w:tblPrEx>
        <w:trPr>
          <w:trHeight w:val="67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微信公众号消息推送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3750元/月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3750元/月</w:t>
            </w:r>
          </w:p>
        </w:tc>
      </w:tr>
      <w:tr>
        <w:tblPrEx>
          <w:tblCellMar>
            <w:top w:w="0" w:type="dxa"/>
            <w:left w:w="0" w:type="dxa"/>
            <w:bottom w:w="0" w:type="dxa"/>
            <w:right w:w="0" w:type="dxa"/>
          </w:tblCellMar>
        </w:tblPrEx>
        <w:trPr>
          <w:trHeight w:val="73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良好党风政风形成带动社风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持续向上向好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效益指标</w:t>
            </w:r>
          </w:p>
        </w:tc>
      </w:tr>
      <w:tr>
        <w:tblPrEx>
          <w:tblCellMar>
            <w:top w:w="0" w:type="dxa"/>
            <w:left w:w="0" w:type="dxa"/>
            <w:bottom w:w="0" w:type="dxa"/>
            <w:right w:w="0" w:type="dxa"/>
          </w:tblCellMar>
        </w:tblPrEx>
        <w:trPr>
          <w:trHeight w:val="92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jc w:val="center"/>
              <w:textAlignment w:val="bottom"/>
              <w:rPr>
                <w:rFonts w:hint="default"/>
                <w:lang w:val="en-US" w:eastAsia="zh-CN"/>
              </w:rPr>
            </w:pPr>
          </w:p>
          <w:p>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服务对象满意度指标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群众满意度达到</w:t>
            </w:r>
            <w:r>
              <w:rPr>
                <w:rFonts w:hint="eastAsia" w:ascii="仿宋_GB2312" w:hAnsi="仿宋_GB2312" w:eastAsia="仿宋_GB2312" w:cs="仿宋_GB2312"/>
                <w:sz w:val="28"/>
                <w:szCs w:val="2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群众满意度达到</w:t>
            </w:r>
            <w:r>
              <w:rPr>
                <w:rFonts w:hint="eastAsia" w:ascii="仿宋_GB2312" w:hAnsi="仿宋_GB2312" w:eastAsia="仿宋_GB2312" w:cs="仿宋_GB2312"/>
                <w:sz w:val="28"/>
                <w:szCs w:val="28"/>
              </w:rPr>
              <w:t>90%</w:t>
            </w:r>
          </w:p>
        </w:tc>
      </w:tr>
    </w:tbl>
    <w:p>
      <w:pPr>
        <w:widowControl/>
        <w:jc w:val="left"/>
        <w:rPr>
          <w:rFonts w:hint="eastAsia" w:ascii="仿宋_GB2312" w:eastAsia="仿宋_GB2312"/>
          <w:b/>
          <w:sz w:val="32"/>
          <w:szCs w:val="32"/>
        </w:rPr>
      </w:pPr>
    </w:p>
    <w:p>
      <w:pPr>
        <w:numPr>
          <w:ilvl w:val="0"/>
          <w:numId w:val="0"/>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2.部门绩效评价结果。</w:t>
      </w:r>
    </w:p>
    <w:p>
      <w:pPr>
        <w:widowControl/>
        <w:ind w:firstLine="660" w:firstLineChars="200"/>
        <w:jc w:val="left"/>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en-US" w:eastAsia="zh-CN" w:bidi="ar-SA"/>
        </w:rPr>
        <w:t>年，我单位积极履职，强化管理，较好的完成了派驻、办信办案、信息化建设等经费项目预期目标。通过加强预算收支管理，不断建立健全内部管理制度，梳理内部管理流程，部门项目支出管理水平得到提升。根据县级项目支出绩效评价指标体系表，我</w:t>
      </w:r>
      <w:r>
        <w:rPr>
          <w:rFonts w:hint="eastAsia" w:eastAsia="方正仿宋_GBK" w:cs="Times New Roman"/>
          <w:kern w:val="2"/>
          <w:sz w:val="33"/>
          <w:szCs w:val="33"/>
          <w:lang w:val="en-US" w:eastAsia="zh-CN" w:bidi="ar-SA"/>
        </w:rPr>
        <w:t>单位</w:t>
      </w:r>
      <w:r>
        <w:rPr>
          <w:rFonts w:hint="eastAsia" w:ascii="Times New Roman" w:hAnsi="Times New Roman" w:eastAsia="方正仿宋_GBK" w:cs="Times New Roman"/>
          <w:kern w:val="2"/>
          <w:sz w:val="33"/>
          <w:szCs w:val="33"/>
          <w:lang w:val="en-US" w:eastAsia="zh-CN" w:bidi="ar-SA"/>
        </w:rPr>
        <w:t>2021年度自评得分为9</w:t>
      </w:r>
      <w:r>
        <w:rPr>
          <w:rFonts w:hint="eastAsia" w:eastAsia="方正仿宋_GBK" w:cs="Times New Roman"/>
          <w:kern w:val="2"/>
          <w:sz w:val="33"/>
          <w:szCs w:val="33"/>
          <w:lang w:val="en-US" w:eastAsia="zh-CN" w:bidi="ar-SA"/>
        </w:rPr>
        <w:t>7</w:t>
      </w:r>
      <w:r>
        <w:rPr>
          <w:rFonts w:hint="eastAsia" w:ascii="Times New Roman" w:hAnsi="Times New Roman" w:eastAsia="方正仿宋_GBK" w:cs="Times New Roman"/>
          <w:kern w:val="2"/>
          <w:sz w:val="33"/>
          <w:szCs w:val="33"/>
          <w:lang w:val="en-US" w:eastAsia="zh-CN" w:bidi="ar-SA"/>
        </w:rPr>
        <w:t>.</w:t>
      </w:r>
      <w:r>
        <w:rPr>
          <w:rFonts w:hint="eastAsia" w:eastAsia="方正仿宋_GBK" w:cs="Times New Roman"/>
          <w:kern w:val="2"/>
          <w:sz w:val="33"/>
          <w:szCs w:val="33"/>
          <w:lang w:val="en-US" w:eastAsia="zh-CN" w:bidi="ar-SA"/>
        </w:rPr>
        <w:t>5</w:t>
      </w:r>
      <w:r>
        <w:rPr>
          <w:rFonts w:hint="eastAsia" w:ascii="Times New Roman" w:hAnsi="Times New Roman" w:eastAsia="方正仿宋_GBK" w:cs="Times New Roman"/>
          <w:kern w:val="2"/>
          <w:sz w:val="33"/>
          <w:szCs w:val="33"/>
          <w:lang w:val="en-US" w:eastAsia="zh-CN" w:bidi="ar-SA"/>
        </w:rPr>
        <w:t>分。</w:t>
      </w: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ascii="Times New Roman" w:hAnsi="Times New Roman" w:eastAsia="方正仿宋_GBK" w:cs="Times New Roman"/>
          <w:kern w:val="2"/>
          <w:sz w:val="33"/>
          <w:szCs w:val="33"/>
          <w:lang w:val="en-US" w:eastAsia="zh-CN" w:bidi="ar-SA"/>
        </w:rPr>
      </w:pPr>
    </w:p>
    <w:p>
      <w:pPr>
        <w:rPr>
          <w:rFonts w:hint="eastAsia" w:ascii="Times New Roman" w:hAnsi="Times New Roman" w:eastAsia="方正仿宋_GBK" w:cs="Times New Roman"/>
          <w:kern w:val="2"/>
          <w:sz w:val="33"/>
          <w:szCs w:val="33"/>
          <w:lang w:val="en-US" w:eastAsia="zh-CN" w:bidi="ar-SA"/>
        </w:rPr>
      </w:pPr>
    </w:p>
    <w:p>
      <w:pPr>
        <w:pStyle w:val="2"/>
        <w:rPr>
          <w:rFonts w:hint="eastAsia"/>
          <w:lang w:val="en-US" w:eastAsia="zh-CN"/>
        </w:rPr>
      </w:pPr>
    </w:p>
    <w:p>
      <w:pPr>
        <w:rPr>
          <w:rFonts w:hint="eastAsia"/>
          <w:lang w:val="en-US" w:eastAsia="zh-CN"/>
        </w:rPr>
      </w:pPr>
    </w:p>
    <w:p>
      <w:pPr>
        <w:numPr>
          <w:ilvl w:val="0"/>
          <w:numId w:val="2"/>
        </w:numPr>
        <w:spacing w:line="600" w:lineRule="exact"/>
        <w:ind w:firstLine="660" w:firstLineChars="150"/>
        <w:jc w:val="center"/>
        <w:outlineLvl w:val="0"/>
        <w:rPr>
          <w:rStyle w:val="24"/>
          <w:rFonts w:ascii="黑体" w:hAnsi="黑体" w:eastAsia="黑体"/>
          <w:b w:val="0"/>
        </w:rPr>
      </w:pPr>
      <w:bookmarkStart w:id="47" w:name="_Toc15377225"/>
      <w:bookmarkStart w:id="48" w:name="_Toc15396613"/>
      <w:r>
        <w:rPr>
          <w:rFonts w:hint="eastAsia" w:ascii="黑体" w:hAnsi="黑体" w:eastAsia="黑体"/>
          <w:sz w:val="44"/>
          <w:szCs w:val="44"/>
        </w:rPr>
        <w:t>名</w:t>
      </w:r>
      <w:r>
        <w:rPr>
          <w:rStyle w:val="24"/>
          <w:rFonts w:hint="eastAsia" w:ascii="黑体" w:hAnsi="黑体" w:eastAsia="黑体"/>
          <w:b w:val="0"/>
        </w:rPr>
        <w:t>词解释</w:t>
      </w:r>
      <w:bookmarkEnd w:id="47"/>
      <w:bookmarkEnd w:id="48"/>
    </w:p>
    <w:p>
      <w:pPr>
        <w:spacing w:line="600" w:lineRule="exact"/>
        <w:jc w:val="left"/>
        <w:rPr>
          <w:rFonts w:ascii="宋体"/>
          <w:b/>
          <w:sz w:val="44"/>
          <w:szCs w:val="44"/>
        </w:rPr>
      </w:pPr>
    </w:p>
    <w:p>
      <w:pPr>
        <w:adjustRightInd w:val="0"/>
        <w:snapToGrid w:val="0"/>
        <w:spacing w:line="600" w:lineRule="exact"/>
        <w:ind w:firstLine="660" w:firstLineChars="200"/>
        <w:rPr>
          <w:rFonts w:hint="eastAsia" w:eastAsia="方正仿宋_GBK"/>
          <w:sz w:val="33"/>
          <w:szCs w:val="33"/>
          <w:lang w:val="zh-CN"/>
        </w:rPr>
      </w:pPr>
      <w:bookmarkStart w:id="49" w:name="_Toc15377226"/>
      <w:r>
        <w:rPr>
          <w:rFonts w:hint="eastAsia" w:eastAsia="方正仿宋_GBK"/>
          <w:sz w:val="33"/>
          <w:szCs w:val="33"/>
          <w:lang w:val="zh-CN"/>
        </w:rPr>
        <w:t>1.财政拨款收入：指单位从同级财政部门取得的财政预算资金。</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2.一般公共服务支出（类）纪检监察事务（款）行政运行（项）：指</w:t>
      </w:r>
      <w:r>
        <w:rPr>
          <w:rFonts w:hint="eastAsia" w:eastAsia="方正仿宋_GBK"/>
          <w:sz w:val="33"/>
          <w:szCs w:val="33"/>
          <w:lang w:val="en-US" w:eastAsia="zh-CN"/>
        </w:rPr>
        <w:t>行政单位的基本支出</w:t>
      </w:r>
      <w:r>
        <w:rPr>
          <w:rFonts w:hint="eastAsia" w:eastAsia="方正仿宋_GBK"/>
          <w:sz w:val="33"/>
          <w:szCs w:val="33"/>
          <w:lang w:val="zh-CN"/>
        </w:rPr>
        <w:t>。</w:t>
      </w:r>
    </w:p>
    <w:p>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zh-CN"/>
        </w:rPr>
        <w:t>3. 一般公共服务支出（类）纪检监察事务（款）一般行政管理事务（项）</w:t>
      </w:r>
      <w:r>
        <w:rPr>
          <w:rFonts w:hint="eastAsia" w:eastAsia="方正仿宋_GBK"/>
          <w:sz w:val="33"/>
          <w:szCs w:val="33"/>
          <w:lang w:val="zh-CN" w:eastAsia="zh-CN"/>
        </w:rPr>
        <w:t>：</w:t>
      </w:r>
      <w:r>
        <w:rPr>
          <w:rFonts w:hint="eastAsia" w:eastAsia="方正仿宋_GBK"/>
          <w:sz w:val="33"/>
          <w:szCs w:val="33"/>
          <w:lang w:val="zh-CN"/>
        </w:rPr>
        <w:t>指</w:t>
      </w:r>
      <w:r>
        <w:rPr>
          <w:rFonts w:hint="eastAsia" w:eastAsia="方正仿宋_GBK"/>
          <w:sz w:val="33"/>
          <w:szCs w:val="33"/>
          <w:lang w:val="en-US" w:eastAsia="zh-CN"/>
        </w:rPr>
        <w:t>未单独设置项级科目的其他项目支出。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4.</w:t>
      </w:r>
      <w:r>
        <w:rPr>
          <w:rFonts w:hint="eastAsia" w:eastAsia="方正仿宋_GBK"/>
          <w:sz w:val="33"/>
          <w:szCs w:val="33"/>
          <w:lang w:val="zh-CN"/>
        </w:rPr>
        <w:t>一般公共服务支出（类）纪检监察事务（款）大案要案查处（项）：</w:t>
      </w:r>
      <w:r>
        <w:rPr>
          <w:rFonts w:hint="eastAsia" w:eastAsia="方正仿宋_GBK"/>
          <w:sz w:val="33"/>
          <w:szCs w:val="33"/>
          <w:lang w:val="en-US" w:eastAsia="zh-CN"/>
        </w:rPr>
        <w:t>指查处大要（专）案的支出。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5.</w:t>
      </w:r>
      <w:r>
        <w:rPr>
          <w:rFonts w:hint="eastAsia" w:eastAsia="方正仿宋_GBK"/>
          <w:sz w:val="33"/>
          <w:szCs w:val="33"/>
          <w:lang w:val="zh-CN"/>
        </w:rPr>
        <w:t>一般公共服务支出（类）纪检监察事务（款）事业运行（项）</w:t>
      </w:r>
      <w:r>
        <w:rPr>
          <w:rFonts w:hint="eastAsia" w:eastAsia="方正仿宋_GBK"/>
          <w:sz w:val="33"/>
          <w:szCs w:val="33"/>
          <w:lang w:val="zh-CN" w:eastAsia="zh-CN"/>
        </w:rPr>
        <w:t>：</w:t>
      </w:r>
      <w:r>
        <w:rPr>
          <w:rFonts w:hint="eastAsia" w:eastAsia="方正仿宋_GBK"/>
          <w:sz w:val="33"/>
          <w:szCs w:val="33"/>
          <w:lang w:val="en-US" w:eastAsia="zh-CN"/>
        </w:rPr>
        <w:t>指事业单位的基本支出，不包括行政单位后勤服务中心、医务室等附属事业单位。</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6.</w:t>
      </w:r>
      <w:r>
        <w:rPr>
          <w:rFonts w:hint="eastAsia" w:eastAsia="方正仿宋_GBK"/>
          <w:sz w:val="33"/>
          <w:szCs w:val="33"/>
          <w:lang w:val="zh-CN"/>
        </w:rPr>
        <w:t>一般公共服务支出（类）纪检监察事务（款）其他纪检监察事务支出（项）：</w:t>
      </w:r>
      <w:r>
        <w:rPr>
          <w:rFonts w:hint="eastAsia" w:eastAsia="方正仿宋_GBK"/>
          <w:sz w:val="33"/>
          <w:szCs w:val="33"/>
          <w:lang w:val="en-US" w:eastAsia="zh-CN"/>
        </w:rPr>
        <w:t>指除上述项目以外其他纪检监察事务方面的支出。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7.</w:t>
      </w:r>
      <w:r>
        <w:rPr>
          <w:rFonts w:hint="eastAsia" w:eastAsia="方正仿宋_GBK"/>
          <w:sz w:val="33"/>
          <w:szCs w:val="33"/>
          <w:lang w:val="zh-CN"/>
        </w:rPr>
        <w:t>社会保障和就业（类）人力资源和社会保障管理事务（款）引进人才费用（项）:</w:t>
      </w:r>
      <w:r>
        <w:rPr>
          <w:rFonts w:hint="eastAsia" w:eastAsia="方正仿宋_GBK"/>
          <w:sz w:val="33"/>
          <w:szCs w:val="33"/>
          <w:lang w:val="en-US" w:eastAsia="zh-CN"/>
        </w:rPr>
        <w:t>指用于引进外国专家补助、引智成果推广等方面的支出。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8.社会保障和就业（类）行政事业单位养老支出（款）机关事业单位基本养老保险缴费支出（项）:指反映机关事业单位实施养老保险制度由单位缴纳的基本养老保险支出。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9.社会保障和就业（类）行政事业单位养老支出（款）机关事业单位职业年金缴费支出（项）:指机关事业单位实施养老保险制度由单位实际缴纳的职业年金的支出。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10.社会保障和就业（类）行政事业单位养老支出（款）其他行政事业单位养老支出（项））: 指除上述项目以外其他用于行政事业单位养老方面的支出。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11.社会保障和就业（类）抚恤（款）其他优抚支出（项）:指按规定用于烈士和牺牲、病故人员家属的一次性和定期抚恤金、丧葬补助费以及烈士褒扬金。</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12.卫生健康（类）计划生育事务（款）其他计划生育事务支出（项）:指其他用于计划生育管理事务方面的支出。</w:t>
      </w:r>
    </w:p>
    <w:p>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13.卫生健康（类）行政事业单位医疗（款）行政单位医疗（项）：指财政部门安排的行政单位基本医疗保险缴费经费，未参加医疗保险的行政单位的公费医疗经费，按国家规定享受离休人员、红军老战士待遇人员的医疗经费。</w:t>
      </w:r>
    </w:p>
    <w:p>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14.</w:t>
      </w:r>
      <w:r>
        <w:rPr>
          <w:rFonts w:hint="eastAsia" w:eastAsia="方正仿宋_GBK"/>
          <w:sz w:val="33"/>
          <w:szCs w:val="33"/>
          <w:lang w:val="zh-CN"/>
        </w:rPr>
        <w:t>住房保障支出（类）住房改革支出（款）住房公积金（项）:</w:t>
      </w:r>
      <w:r>
        <w:rPr>
          <w:rFonts w:hint="eastAsia" w:eastAsia="方正仿宋_GBK"/>
          <w:sz w:val="33"/>
          <w:szCs w:val="33"/>
          <w:lang w:val="en-US" w:eastAsia="zh-CN"/>
        </w:rPr>
        <w:t>指行政事业单位按人力资源和社会保障部、财政部规定的基本工资和津贴补贴以及规定比例为职工缴纳的住房公积金。</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w:t>
      </w:r>
      <w:r>
        <w:rPr>
          <w:rFonts w:hint="eastAsia" w:eastAsia="方正仿宋_GBK"/>
          <w:sz w:val="33"/>
          <w:szCs w:val="33"/>
          <w:lang w:val="en-US" w:eastAsia="zh-CN"/>
        </w:rPr>
        <w:t>5</w:t>
      </w:r>
      <w:r>
        <w:rPr>
          <w:rFonts w:hint="eastAsia" w:eastAsia="方正仿宋_GBK"/>
          <w:sz w:val="33"/>
          <w:szCs w:val="33"/>
          <w:lang w:val="zh-CN"/>
        </w:rPr>
        <w:t>.基本支出：指为保障机构正常运转、完成日常工作任务而发生的人员支出和公用支出。</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w:t>
      </w:r>
      <w:r>
        <w:rPr>
          <w:rFonts w:hint="eastAsia" w:eastAsia="方正仿宋_GBK"/>
          <w:sz w:val="33"/>
          <w:szCs w:val="33"/>
          <w:lang w:val="en-US" w:eastAsia="zh-CN"/>
        </w:rPr>
        <w:t>6</w:t>
      </w:r>
      <w:r>
        <w:rPr>
          <w:rFonts w:hint="eastAsia" w:eastAsia="方正仿宋_GBK"/>
          <w:sz w:val="33"/>
          <w:szCs w:val="33"/>
          <w:lang w:val="zh-CN"/>
        </w:rPr>
        <w:t xml:space="preserve">.项目支出：指在基本支出之外为完成特定行政任务和事业发展目标所发生的支出。 </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w:t>
      </w:r>
      <w:r>
        <w:rPr>
          <w:rFonts w:hint="eastAsia" w:eastAsia="方正仿宋_GBK"/>
          <w:sz w:val="33"/>
          <w:szCs w:val="33"/>
          <w:lang w:val="en-US" w:eastAsia="zh-CN"/>
        </w:rPr>
        <w:t>7</w:t>
      </w:r>
      <w:r>
        <w:rPr>
          <w:rFonts w:hint="eastAsia" w:eastAsia="方正仿宋_GBK"/>
          <w:sz w:val="33"/>
          <w:szCs w:val="33"/>
          <w:lang w:val="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18</w:t>
      </w:r>
      <w:r>
        <w:rPr>
          <w:rFonts w:hint="eastAsia" w:eastAsia="方正仿宋_GBK"/>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sz w:val="44"/>
          <w:szCs w:val="44"/>
        </w:rPr>
        <w:br w:type="page"/>
      </w:r>
      <w:bookmarkStart w:id="50" w:name="_Toc15396614"/>
      <w:r>
        <w:rPr>
          <w:rFonts w:hint="eastAsia" w:ascii="黑体" w:hAnsi="黑体" w:eastAsia="黑体"/>
          <w:sz w:val="44"/>
          <w:szCs w:val="44"/>
        </w:rPr>
        <w:t>第</w:t>
      </w:r>
      <w:r>
        <w:rPr>
          <w:rStyle w:val="24"/>
          <w:rFonts w:hint="eastAsia" w:ascii="黑体" w:hAnsi="黑体" w:eastAsia="黑体"/>
          <w:b w:val="0"/>
        </w:rPr>
        <w:t>四部分 附件</w:t>
      </w:r>
      <w:bookmarkEnd w:id="50"/>
    </w:p>
    <w:p>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72" w:lineRule="exact"/>
        <w:jc w:val="center"/>
        <w:rPr>
          <w:rFonts w:hint="eastAsia" w:ascii="方正小标宋简体" w:hAnsi="宋体" w:eastAsia="方正小标宋简体"/>
          <w:kern w:val="0"/>
          <w:sz w:val="40"/>
          <w:szCs w:val="44"/>
        </w:rPr>
      </w:pPr>
      <w:r>
        <w:rPr>
          <w:rFonts w:hint="eastAsia" w:ascii="方正小标宋简体" w:hAnsi="宋体" w:eastAsia="方正小标宋简体"/>
          <w:kern w:val="0"/>
          <w:sz w:val="40"/>
          <w:szCs w:val="44"/>
        </w:rPr>
        <w:t>2021年</w:t>
      </w:r>
      <w:r>
        <w:rPr>
          <w:rFonts w:hint="eastAsia" w:ascii="方正小标宋简体" w:hAnsi="宋体" w:eastAsia="方正小标宋简体"/>
          <w:kern w:val="0"/>
          <w:sz w:val="40"/>
          <w:szCs w:val="44"/>
          <w:lang w:val="en-US" w:eastAsia="zh-CN"/>
        </w:rPr>
        <w:t>中共邻水县纪委</w:t>
      </w:r>
      <w:r>
        <w:rPr>
          <w:rFonts w:hint="eastAsia" w:ascii="方正小标宋简体" w:hAnsi="宋体" w:eastAsia="方正小标宋简体"/>
          <w:kern w:val="0"/>
          <w:sz w:val="40"/>
          <w:szCs w:val="44"/>
        </w:rPr>
        <w:t>部门整体绩效</w:t>
      </w: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（一）机构组成</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中共邻水县纪律检查委员会由中国共产党邻水县代表大会选举产生；邻水县监察委员会由邻水县人民代表大会产生。县纪委与县监委合署办公，实行一套工作机构、两个机关名称，履行党的纪律检查和国家监察两项职责，在中共邻水县委和中共广安市纪委广安市监委双重领导下开展工作。同时，县监委对邻水县人民代表大会及其常务委员会负责，并接受其监督。县纪委监委加强对下级纪检监察组织的领导。</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（二）机构职能</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根据中共邻水县委办公室《关于印发&lt;中共邻水县纪律检查委员会邻水县监察委员会机关职能配置、内设机构和人员编制规定&gt;的通知》（邻委办〔2019〕15号），中共邻水县纪委监委主要职责：</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负责党的纪律检查工作。贯彻落实党中央关于纪律检查工作的决定，维护党的章程和其他党内法规，检查党的路线方针政策和决议的执行情况，协助县委推进全面从严治党、加强党风建设和组织协调反腐败工作。</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3.负责全县监察工作。贯彻落实党中央关于监察工作的决定，维护宪法法律，依法对县委管理的行使公权力的公职人员进行监察，调查职务违法和职务犯罪，开展廉政建设和反腐败工作。</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4.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5.负责组织协调全面从严治党、党风廉政建设和反腐败宣传教育工作。</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6.负责综合分析全面从严治党、党风廉政建设和反腐败工作情况，对纪检监察工作重要理论及实践问题进行调查研究。制定或者修改全县纪检监察制度，参与起草制定相关规范性文件。</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7.在中共广安市纪委广安市监委的领导下，加强对反腐败追逃追赃和防逃工作的组织协调，督促有关单位做好相关工作。</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8.根据干部管理权限，负责纪检监察系统领导班子建设、干部队伍建设和组织建设的综合规划、政策研究、制度建设和业务指导。会同有关方面做好县纪委监委派驻（出）机构、下一级纪检监察组织、县管企业和县属学校、医院纪检监察队伍建设有关工作。组织和指导全县纪检监察系统干部教育培训工作等。</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9.完成县委和中共广安市纪委广安市监委交办的其他任务。</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 xml:space="preserve">中共邻水县纪委监委属于行政管理单位，内设室（部、中心）16个，下辖两个事业单位。编制138个，在职实有人员116人，离退休人员15人。 </w:t>
      </w:r>
    </w:p>
    <w:p>
      <w:pPr>
        <w:widowControl/>
        <w:adjustRightInd w:val="0"/>
        <w:snapToGrid w:val="0"/>
        <w:spacing w:line="580" w:lineRule="exact"/>
        <w:ind w:firstLine="420" w:firstLineChars="200"/>
        <w:contextualSpacing/>
        <w:jc w:val="left"/>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（一）部门财政资金收入情况</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2021年中共邻水县纪委本年收入合计2343.94万元，其中：一般公共预算财政拨款收入2343.94万元，占100%。</w:t>
      </w:r>
    </w:p>
    <w:p>
      <w:pPr>
        <w:adjustRightInd w:val="0"/>
        <w:snapToGrid w:val="0"/>
        <w:spacing w:line="600" w:lineRule="exact"/>
        <w:ind w:firstLine="640" w:firstLineChars="200"/>
        <w:rPr>
          <w:rFonts w:hint="eastAsia" w:eastAsia="方正仿宋_GBK"/>
          <w:sz w:val="33"/>
          <w:szCs w:val="33"/>
          <w:lang w:val="zh-CN"/>
        </w:rPr>
      </w:pPr>
      <w:r>
        <w:rPr>
          <w:rFonts w:hint="eastAsia" w:ascii="仿宋_GB2312" w:eastAsia="仿宋_GB2312"/>
          <w:sz w:val="32"/>
          <w:szCs w:val="32"/>
          <w:lang w:val="zh-CN"/>
        </w:rPr>
        <w:t>（二）</w:t>
      </w:r>
      <w:r>
        <w:rPr>
          <w:rFonts w:hint="eastAsia" w:eastAsia="方正仿宋_GBK"/>
          <w:sz w:val="33"/>
          <w:szCs w:val="33"/>
          <w:lang w:val="zh-CN"/>
        </w:rPr>
        <w:t>部门财政资金支出情况</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2021年本年支出合计2343.94万元，其中：基本支出2110.54万元，占90%；项目支出233.4万元，占100%。</w:t>
      </w:r>
    </w:p>
    <w:p>
      <w:pPr>
        <w:pStyle w:val="6"/>
        <w:spacing w:before="93"/>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（一）部门预算项目绩效管理</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建立重大决策和项目事前绩效评估机制，将绩效目标作为立项入库和事前绩效评估的重要内容，并将评估、评审结果作为申请预算的必备条件。在预算编制环节，强化绩效目标的约束功能和源头作用，将绩效目标设置作为预算安排的前置条件。在预算执行环节，按照“谁支出、谁负责”的原则，推进预算部门对绩效目标实现程度和预算执行进度实行“双监控”。</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一是成立了以县纪委副书记任组长，相关室负责人为成员的部门支出绩效评价工作领导小组，主要负责绩效评价方案的制定、组织实施和检查、督促、验收工作。二是依据相关专项资金管理办法和现行财务制度，按照部门支出绩效评价指标体系要求，列出了支出绩效评价的项目清单，从预算编制、预算执行、支出绩效三个方面，分别对每一个项目进行绩效评价。三是在单位完成绩效评价工作后，组织人员对重点单位、重点项目进行了抽查。通过自查和抽查，项目实施单位能够按照项目规划组织实施，较好地实现了预期绩效目标。</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 xml:space="preserve">  部门整体支出情况良好。</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在县委、县政府的坚强领导，我县纪律审查工作继续完善、提升、发展，圆满完成了省市下达的各项目标任务，为全县政治生态做出了突出贡献。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虽然我县纪检监察工作在取得了一定成效，但是对照上级的要求和群众的期盼还有一定差距。主要存在以下问题：一是全面从严治党政治责任落实还不平衡，特别是在村（社区）一级，“两个责任”落实情况较差；二是群众信访问题仍较突出，信访举报量居高不下；三是群众身边的“四风”问题依然存在，通过作风督查、专项巡察等发现，干部吃拿卡要、推诿扯皮、脱离基层等群众反映强烈的问题时有发生；四是在低保、扶贫攻坚、项目建设等领域的腐败问题时有发生，个别干部不收敛、不收手问题依然存在。</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下一步，我们将紧紧围绕学习贯彻党的十九大精神和中省市纪委工作部署，围绕县委中心工作，通过开展“脱贫攻坚护航”、“正风肃纪拓展”、“惩贪治腐利剑”、“干部关心激励”、“标本兼治护根”五大行动，确保实现“两升一降两健康”目标：惩治腐败力度提升、群众满意度提升，群众信访举报量下降，经济社会健康发展、干部健康成长，为决胜全面小康、建设经济强县提供有力的政治和纪律保障。</w:t>
      </w:r>
    </w:p>
    <w:p>
      <w:pPr>
        <w:pStyle w:val="6"/>
        <w:spacing w:before="93"/>
        <w:rPr>
          <w:rFonts w:hAnsi="宋体" w:cs="宋体"/>
          <w:sz w:val="32"/>
          <w:szCs w:val="32"/>
          <w:shd w:val="clear" w:color="auto" w:fill="FFFFFF"/>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Ansi="宋体" w:cs="宋体"/>
          <w:sz w:val="32"/>
          <w:szCs w:val="32"/>
          <w:shd w:val="clear" w:color="auto" w:fill="FFFFFF"/>
          <w:lang w:val="zh-CN"/>
        </w:rPr>
      </w:pPr>
    </w:p>
    <w:p>
      <w:pPr>
        <w:pStyle w:val="6"/>
        <w:spacing w:before="93"/>
        <w:rPr>
          <w:rFonts w:hint="eastAsia" w:eastAsia="仿宋_GB2312"/>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2</w:t>
      </w: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en-US" w:eastAsia="zh-CN"/>
        </w:rPr>
        <w:t>中共邻水县纪委</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ind w:firstLine="640"/>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该项目系县纪委监委开展和宣传邻水县党风廉政建设工作，通过日常监督、专项系统治理、服务群众、查信办案等手段，不断修复净化政治生态。同时用于维护“大数据+阳光监督”系统维护。项目资金申报根据专项工作综合考虑，用于派驻监督、日常监督等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1</w:t>
      </w:r>
      <w:r>
        <w:rPr>
          <w:rFonts w:hint="eastAsia" w:eastAsia="方正仿宋_GBK"/>
          <w:sz w:val="33"/>
          <w:szCs w:val="33"/>
          <w:lang w:val="zh-CN"/>
        </w:rPr>
        <w:t>．项目主要内容为开展监督检查，查信办案。具体目标为开展监督检查100余次，对3名以上职务违法犯罪人员进行立案查处，面向群众发放廉洁短信400万余条，并利用微信公众号及时推送邻水县党风廉政建设信息等。相关工作要求在2021年内全部完成。经分析，该项目申报内容与实际较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项目绩效目标自评采取分级评分法和比率分值法相结合的方式进行，以达到科学编制绩效评价的目的。由县纪委监委办公室成立项目绩效目标自评小组，单位负责人对绩效评价结果进行最终认定。绩效评价时间一般为次年对上年情况进行评价。</w:t>
      </w:r>
    </w:p>
    <w:p>
      <w:pPr>
        <w:adjustRightInd w:val="0"/>
        <w:snapToGrid w:val="0"/>
        <w:spacing w:line="600" w:lineRule="exact"/>
        <w:rPr>
          <w:rFonts w:ascii="仿宋_GB2312" w:hAnsi="宋体" w:eastAsia="仿宋_GB2312"/>
          <w:sz w:val="32"/>
          <w:szCs w:val="32"/>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eastAsia="方正仿宋_GBK"/>
          <w:sz w:val="33"/>
          <w:szCs w:val="33"/>
          <w:lang w:val="zh-CN"/>
        </w:rPr>
        <w:t>2021年，县纪委向财政局申报使用项目资金，县财政局批复县纪委项目资金233.4万元。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570" w:lineRule="exact"/>
        <w:ind w:firstLine="660" w:firstLineChars="200"/>
        <w:rPr>
          <w:rFonts w:eastAsia="方正仿宋_GBK"/>
          <w:sz w:val="33"/>
          <w:szCs w:val="33"/>
          <w:lang w:val="zh-CN"/>
        </w:rPr>
      </w:pPr>
      <w:r>
        <w:rPr>
          <w:rFonts w:eastAsia="方正仿宋_GBK"/>
          <w:sz w:val="33"/>
          <w:szCs w:val="33"/>
          <w:lang w:val="zh-CN"/>
        </w:rPr>
        <w:t>1.</w:t>
      </w:r>
      <w:r>
        <w:rPr>
          <w:rFonts w:hint="eastAsia" w:eastAsia="方正仿宋_GBK"/>
          <w:sz w:val="33"/>
          <w:szCs w:val="33"/>
          <w:lang w:val="zh-CN"/>
        </w:rPr>
        <w:t>资金计划及到位。项目资金到位233.4万元，资金到位率</w:t>
      </w:r>
      <w:r>
        <w:rPr>
          <w:rFonts w:eastAsia="方正仿宋_GBK"/>
          <w:sz w:val="33"/>
          <w:szCs w:val="33"/>
          <w:lang w:val="zh-CN"/>
        </w:rPr>
        <w:t>100%</w:t>
      </w:r>
      <w:r>
        <w:rPr>
          <w:rFonts w:hint="eastAsia" w:eastAsia="方正仿宋_GBK"/>
          <w:sz w:val="33"/>
          <w:szCs w:val="33"/>
          <w:lang w:val="zh-CN"/>
        </w:rPr>
        <w:t>。</w:t>
      </w:r>
    </w:p>
    <w:p>
      <w:pPr>
        <w:adjustRightInd w:val="0"/>
        <w:snapToGrid w:val="0"/>
        <w:spacing w:line="570" w:lineRule="exact"/>
        <w:ind w:firstLine="660" w:firstLineChars="200"/>
        <w:rPr>
          <w:rFonts w:eastAsia="方正仿宋_GBK"/>
          <w:sz w:val="33"/>
          <w:szCs w:val="33"/>
          <w:lang w:val="zh-CN"/>
        </w:rPr>
      </w:pPr>
      <w:r>
        <w:rPr>
          <w:rFonts w:eastAsia="方正仿宋_GBK"/>
          <w:sz w:val="33"/>
          <w:szCs w:val="33"/>
          <w:lang w:val="zh-CN"/>
        </w:rPr>
        <w:t>2.</w:t>
      </w:r>
      <w:r>
        <w:rPr>
          <w:rFonts w:hint="eastAsia" w:eastAsia="方正仿宋_GBK"/>
          <w:sz w:val="33"/>
          <w:szCs w:val="33"/>
          <w:lang w:val="zh-CN"/>
        </w:rPr>
        <w:t>资金使用。2021年，共计支付233.4万元。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60" w:firstLineChars="200"/>
        <w:rPr>
          <w:rFonts w:eastAsia="方正仿宋_GBK"/>
          <w:sz w:val="33"/>
          <w:szCs w:val="33"/>
          <w:lang w:val="zh-CN"/>
        </w:rPr>
      </w:pPr>
      <w:r>
        <w:rPr>
          <w:rFonts w:hint="eastAsia" w:eastAsia="方正仿宋_GBK"/>
          <w:sz w:val="33"/>
          <w:szCs w:val="33"/>
          <w:lang w:val="zh-CN"/>
        </w:rPr>
        <w:t>该项目实施单位为县纪委监委，县纪委严格执行相关财务管理制度及内控制度，及时拨付相关资金，并及时进行会计核算等账务处理。</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60" w:firstLineChars="200"/>
        <w:rPr>
          <w:rFonts w:eastAsia="方正楷体_GBK"/>
          <w:b/>
          <w:sz w:val="33"/>
          <w:szCs w:val="33"/>
          <w:lang w:val="zh-CN"/>
        </w:rPr>
      </w:pPr>
      <w:r>
        <w:rPr>
          <w:rFonts w:hint="eastAsia" w:eastAsia="方正仿宋_GBK"/>
          <w:sz w:val="33"/>
          <w:szCs w:val="33"/>
          <w:lang w:val="zh-CN"/>
        </w:rPr>
        <w:t>项目实施严格按照单位内控制度进行，对应进行政府采购实施的内容严格按照程序实施，并及时进行公开公示。项目资金的支付严格按照财政资金审批流程进行，由相应分管领导根据支付需求提出支付计划，由分管财务的领导进行审签后报经单位负责人同意后支付。同时由委机关干监室适时对实施情况进行再监督再检查。</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60" w:firstLineChars="200"/>
        <w:rPr>
          <w:rFonts w:eastAsia="方正仿宋_GBK"/>
          <w:b/>
          <w:sz w:val="33"/>
          <w:szCs w:val="33"/>
          <w:lang w:val="zh-CN"/>
        </w:rPr>
      </w:pPr>
      <w:r>
        <w:rPr>
          <w:rFonts w:hint="eastAsia" w:eastAsia="方正仿宋_GBK"/>
          <w:sz w:val="33"/>
          <w:szCs w:val="33"/>
          <w:lang w:val="zh-CN"/>
        </w:rPr>
        <w:t>全年开展监督检查次数及发送短信条数等均完成了目标，截至年底，对涉嫌职务违法人员移送检察机关依法审查起诉人数未达到目标。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eastAsia="方正仿宋_GBK"/>
          <w:sz w:val="33"/>
          <w:szCs w:val="33"/>
          <w:lang w:val="zh-CN"/>
        </w:rPr>
      </w:pPr>
      <w:r>
        <w:rPr>
          <w:rFonts w:hint="eastAsia" w:eastAsia="方正仿宋_GBK"/>
          <w:sz w:val="33"/>
          <w:szCs w:val="33"/>
          <w:lang w:val="zh-CN"/>
        </w:rPr>
        <w:t>通过不断开展和宣传邻水县党风廉政建设工作，达到了持续修复净化政治生态的目的。</w:t>
      </w:r>
    </w:p>
    <w:p>
      <w:pPr>
        <w:adjustRightInd w:val="0"/>
        <w:snapToGrid w:val="0"/>
        <w:spacing w:line="600" w:lineRule="exact"/>
        <w:ind w:firstLine="720"/>
        <w:rPr>
          <w:rFonts w:eastAsia="方正仿宋_GBK"/>
          <w:sz w:val="33"/>
          <w:szCs w:val="33"/>
          <w:lang w:val="zh-CN"/>
        </w:rPr>
      </w:pPr>
      <w:r>
        <w:rPr>
          <w:rFonts w:hint="eastAsia" w:ascii="黑体" w:hAnsi="宋体" w:eastAsia="黑体"/>
          <w:sz w:val="32"/>
          <w:szCs w:val="32"/>
        </w:rPr>
        <w:t>五、评价结论及建议</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（一）评价结论</w:t>
      </w:r>
    </w:p>
    <w:p>
      <w:pPr>
        <w:adjustRightInd w:val="0"/>
        <w:snapToGrid w:val="0"/>
        <w:spacing w:line="600" w:lineRule="exact"/>
        <w:ind w:firstLine="660" w:firstLineChars="200"/>
        <w:rPr>
          <w:rFonts w:eastAsia="方正仿宋_GBK"/>
          <w:sz w:val="33"/>
          <w:szCs w:val="33"/>
          <w:bdr w:val="single" w:color="auto" w:sz="4" w:space="0"/>
          <w:lang w:val="zh-CN"/>
        </w:rPr>
      </w:pPr>
      <w:r>
        <w:rPr>
          <w:rFonts w:hint="eastAsia" w:eastAsia="方正仿宋_GBK"/>
          <w:sz w:val="33"/>
          <w:szCs w:val="33"/>
          <w:lang w:val="zh-CN"/>
        </w:rPr>
        <w:t>项目总体完成情况较好，达到了项目预期目标。</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（二）存在的问题</w:t>
      </w:r>
    </w:p>
    <w:p>
      <w:pPr>
        <w:spacing w:line="590" w:lineRule="exact"/>
        <w:ind w:firstLine="660" w:firstLineChars="200"/>
        <w:rPr>
          <w:rFonts w:eastAsia="方正仿宋_GBK"/>
          <w:sz w:val="33"/>
          <w:szCs w:val="33"/>
          <w:lang w:val="zh-CN"/>
        </w:rPr>
      </w:pPr>
      <w:r>
        <w:rPr>
          <w:rFonts w:hint="eastAsia" w:eastAsia="方正仿宋_GBK"/>
          <w:sz w:val="33"/>
          <w:szCs w:val="33"/>
          <w:lang w:val="zh-CN"/>
        </w:rPr>
        <w:t>项目实施中，存在如下问题：1.对政治生态研判还不精准。精准施策不够，政治生态“雾霾”现象突出；2.对干部作风抓得还不严、紧。整治形式主义、官僚主义力度不够，监督检查力度和质量还不够；3.对“三不”机制推进还不给力。“关键少数”、重要岗位及易发多发系统和行业领域风险防控机制还不够健全，大要案的震慑功效还未有效发挥。</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（三）相关建议</w:t>
      </w:r>
    </w:p>
    <w:p>
      <w:pPr>
        <w:adjustRightInd w:val="0"/>
        <w:snapToGrid w:val="0"/>
        <w:spacing w:line="520" w:lineRule="exact"/>
        <w:ind w:firstLine="660" w:firstLineChars="200"/>
        <w:rPr>
          <w:rFonts w:hint="eastAsia" w:ascii="仿宋_GB2312" w:hAnsi="仿宋_GB2312" w:eastAsia="仿宋_GB2312" w:cs="仿宋_GB2312"/>
          <w:b/>
          <w:bCs/>
          <w:color w:val="auto"/>
          <w:sz w:val="32"/>
          <w:szCs w:val="32"/>
          <w:highlight w:val="none"/>
          <w:lang w:eastAsia="zh-CN"/>
        </w:rPr>
      </w:pPr>
      <w:r>
        <w:rPr>
          <w:rFonts w:hint="eastAsia" w:eastAsia="方正仿宋_GBK"/>
          <w:sz w:val="33"/>
          <w:szCs w:val="33"/>
          <w:lang w:val="zh-CN"/>
        </w:rPr>
        <w:t>1.强化政治监督。进一步加大监督检查的力度和质量；2.深化为民初心。持续推进“人民阅卷</w:t>
      </w:r>
      <w:r>
        <w:rPr>
          <w:rFonts w:hint="eastAsia" w:ascii="宋体" w:hAnsi="宋体" w:cs="宋体"/>
          <w:sz w:val="33"/>
          <w:szCs w:val="33"/>
          <w:lang w:val="zh-CN"/>
        </w:rPr>
        <w:t>•</w:t>
      </w:r>
      <w:r>
        <w:rPr>
          <w:rFonts w:hint="eastAsia" w:ascii="方正仿宋_GBK" w:hAnsi="方正仿宋_GBK" w:eastAsia="方正仿宋_GBK" w:cs="方正仿宋_GBK"/>
          <w:sz w:val="33"/>
          <w:szCs w:val="33"/>
          <w:lang w:val="zh-CN"/>
        </w:rPr>
        <w:t>广安行动”，用好用活“</w:t>
      </w:r>
      <w:r>
        <w:rPr>
          <w:rFonts w:eastAsia="方正仿宋_GBK"/>
          <w:sz w:val="33"/>
          <w:szCs w:val="33"/>
          <w:lang w:val="zh-CN"/>
        </w:rPr>
        <w:t>1+N</w:t>
      </w:r>
      <w:r>
        <w:rPr>
          <w:rFonts w:hint="eastAsia" w:eastAsia="方正仿宋_GBK"/>
          <w:sz w:val="33"/>
          <w:szCs w:val="33"/>
          <w:lang w:val="zh-CN"/>
        </w:rPr>
        <w:t>”对口联系服务群众机制。3.固化反腐败高压态势。加大违纪违法案件查处力度，尤其是违反政治纪律和政治规矩的典型案件，始终以“零容忍”的态度，做到发现一起、查处一起、通报一起。</w:t>
      </w:r>
    </w:p>
    <w:p>
      <w:pPr>
        <w:spacing w:line="580" w:lineRule="exact"/>
        <w:ind w:firstLine="64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附件</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w:t>
      </w:r>
    </w:p>
    <w:p>
      <w:pPr>
        <w:spacing w:line="580" w:lineRule="exact"/>
        <w:ind w:firstLine="640"/>
        <w:jc w:val="center"/>
        <w:rPr>
          <w:rFonts w:hint="default"/>
          <w:lang w:val="en-US" w:eastAsia="zh-CN"/>
        </w:rPr>
      </w:pPr>
      <w:r>
        <w:rPr>
          <w:rFonts w:hint="default" w:ascii="Times New Roman" w:hAnsi="Times New Roman" w:eastAsia="仿宋_GB2312" w:cs="Times New Roman"/>
          <w:b/>
          <w:bCs/>
          <w:color w:val="auto"/>
          <w:sz w:val="32"/>
          <w:szCs w:val="32"/>
          <w:highlight w:val="none"/>
          <w:lang w:val="en-US" w:eastAsia="zh-CN"/>
        </w:rPr>
        <w:t>2021年部门预算项目绩效目标自评表</w:t>
      </w:r>
    </w:p>
    <w:p>
      <w:pPr>
        <w:spacing w:line="580" w:lineRule="exact"/>
        <w:ind w:firstLine="640"/>
        <w:jc w:val="center"/>
        <w:rPr>
          <w:color w:val="auto"/>
          <w:highlight w:val="none"/>
          <w:lang w:val="zh-CN"/>
        </w:rPr>
      </w:pPr>
      <w:r>
        <w:rPr>
          <w:rFonts w:hint="eastAsia" w:ascii="宋体" w:hAnsi="宋体" w:cs="宋体"/>
          <w:b/>
          <w:color w:val="auto"/>
          <w:sz w:val="32"/>
          <w:szCs w:val="32"/>
          <w:highlight w:val="none"/>
        </w:rPr>
        <w:t>派驻、办信办案、信息化建设等经费</w:t>
      </w:r>
      <w:r>
        <w:rPr>
          <w:rFonts w:hint="eastAsia" w:eastAsia="仿宋_GB2312" w:cs="Times New Roman"/>
          <w:b/>
          <w:bCs/>
          <w:color w:val="auto"/>
          <w:sz w:val="32"/>
          <w:szCs w:val="32"/>
          <w:highlight w:val="none"/>
          <w:lang w:val="en-US" w:eastAsia="zh-CN"/>
        </w:rPr>
        <w:t>项目</w:t>
      </w:r>
    </w:p>
    <w:tbl>
      <w:tblPr>
        <w:tblStyle w:val="12"/>
        <w:tblpPr w:leftFromText="180" w:rightFromText="180" w:vertAnchor="text" w:horzAnchor="page" w:tblpX="1281" w:tblpY="660"/>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675" w:hRule="atLeast"/>
        </w:trPr>
        <w:tc>
          <w:tcPr>
            <w:tcW w:w="3118"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center" w:pos="1510"/>
                <w:tab w:val="right" w:pos="2902"/>
              </w:tabs>
              <w:kinsoku/>
              <w:wordWrap/>
              <w:overflowPunct/>
              <w:topLinePunct w:val="0"/>
              <w:bidi w:val="0"/>
              <w:adjustRightInd/>
              <w:spacing w:line="600" w:lineRule="exact"/>
              <w:jc w:val="center"/>
              <w:textAlignment w:val="auto"/>
              <w:rPr>
                <w:rFonts w:hint="eastAsia" w:ascii="宋体" w:hAnsi="宋体" w:eastAsia="宋体" w:cs="宋体"/>
                <w:b/>
                <w:bCs/>
                <w:spacing w:val="6"/>
                <w:kern w:val="2"/>
                <w:sz w:val="20"/>
                <w:szCs w:val="20"/>
                <w:lang w:val="en-US" w:eastAsia="zh-CN" w:bidi="ar-SA"/>
              </w:rPr>
            </w:pPr>
            <w:r>
              <w:rPr>
                <w:rFonts w:hint="eastAsia" w:ascii="宋体" w:hAnsi="宋体" w:eastAsia="宋体" w:cs="宋体"/>
                <w:b/>
                <w:bCs/>
                <w:spacing w:val="6"/>
                <w:sz w:val="20"/>
                <w:szCs w:val="20"/>
                <w:lang w:val="en-US" w:eastAsia="zh-CN"/>
              </w:rPr>
              <w:t>项目名称</w:t>
            </w:r>
          </w:p>
        </w:tc>
        <w:tc>
          <w:tcPr>
            <w:tcW w:w="6457" w:type="dxa"/>
            <w:gridSpan w:val="4"/>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center" w:pos="1510"/>
                <w:tab w:val="right" w:pos="2902"/>
              </w:tabs>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派驻、办信办案、信息化建设等经费项目</w:t>
            </w:r>
          </w:p>
        </w:tc>
      </w:tr>
      <w:tr>
        <w:tblPrEx>
          <w:tblCellMar>
            <w:top w:w="0" w:type="dxa"/>
            <w:left w:w="108" w:type="dxa"/>
            <w:bottom w:w="0" w:type="dxa"/>
            <w:right w:w="108" w:type="dxa"/>
          </w:tblCellMar>
        </w:tblPrEx>
        <w:trPr>
          <w:trHeight w:val="254" w:hRule="atLeast"/>
        </w:trPr>
        <w:tc>
          <w:tcPr>
            <w:tcW w:w="311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121101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中共邻水县纪委监委</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bidi="ar"/>
              </w:rPr>
              <w:t>项目预算</w:t>
            </w:r>
          </w:p>
          <w:p>
            <w:pPr>
              <w:widowControl/>
              <w:spacing w:line="320" w:lineRule="exact"/>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bidi="ar"/>
              </w:rPr>
              <w:t>执行情况</w:t>
            </w:r>
          </w:p>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233.4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233.4</w:t>
            </w:r>
          </w:p>
        </w:tc>
      </w:tr>
      <w:tr>
        <w:tblPrEx>
          <w:tblCellMar>
            <w:top w:w="0" w:type="dxa"/>
            <w:left w:w="108" w:type="dxa"/>
            <w:bottom w:w="0" w:type="dxa"/>
            <w:right w:w="108" w:type="dxa"/>
          </w:tblCellMar>
        </w:tblPrEx>
        <w:trPr>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1"/>
                <w:szCs w:val="21"/>
                <w:lang w:bidi="ar"/>
              </w:rPr>
            </w:pPr>
            <w:r>
              <w:rPr>
                <w:rFonts w:hint="eastAsia" w:ascii="宋体" w:hAnsi="宋体" w:cs="宋体"/>
                <w:kern w:val="0"/>
                <w:sz w:val="21"/>
                <w:szCs w:val="21"/>
                <w:lang w:bidi="ar"/>
              </w:rPr>
              <w:t>其中：</w:t>
            </w:r>
          </w:p>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233.4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1"/>
                <w:szCs w:val="21"/>
                <w:lang w:bidi="ar"/>
              </w:rPr>
            </w:pPr>
            <w:r>
              <w:rPr>
                <w:rFonts w:hint="eastAsia" w:ascii="宋体" w:hAnsi="宋体" w:cs="宋体"/>
                <w:kern w:val="0"/>
                <w:sz w:val="21"/>
                <w:szCs w:val="21"/>
                <w:lang w:bidi="ar"/>
              </w:rPr>
              <w:t>其中：</w:t>
            </w:r>
          </w:p>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233.4</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sz w:val="21"/>
                <w:szCs w:val="21"/>
              </w:rPr>
              <w:t>0</w:t>
            </w: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1"/>
                <w:szCs w:val="21"/>
                <w:lang w:bidi="ar"/>
              </w:rPr>
            </w:pPr>
            <w:r>
              <w:rPr>
                <w:rFonts w:hint="eastAsia" w:ascii="宋体" w:hAnsi="宋体" w:cs="宋体"/>
                <w:kern w:val="0"/>
                <w:sz w:val="21"/>
                <w:szCs w:val="21"/>
                <w:lang w:bidi="ar"/>
              </w:rPr>
              <w:t>年度总体目标</w:t>
            </w:r>
          </w:p>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1"/>
                <w:szCs w:val="21"/>
              </w:rPr>
            </w:pPr>
            <w:r>
              <w:rPr>
                <w:rFonts w:hint="eastAsia" w:ascii="宋体" w:hAnsi="宋体" w:cs="宋体"/>
                <w:kern w:val="0"/>
                <w:sz w:val="21"/>
                <w:szCs w:val="21"/>
                <w:lang w:bidi="ar"/>
              </w:rPr>
              <w:t>目标实际完成情况</w:t>
            </w:r>
          </w:p>
        </w:tc>
      </w:tr>
      <w:tr>
        <w:tblPrEx>
          <w:tblCellMar>
            <w:top w:w="0" w:type="dxa"/>
            <w:left w:w="108" w:type="dxa"/>
            <w:bottom w:w="0" w:type="dxa"/>
            <w:right w:w="108" w:type="dxa"/>
          </w:tblCellMar>
        </w:tblPrEx>
        <w:trPr>
          <w:trHeight w:val="60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1"/>
                <w:szCs w:val="21"/>
              </w:rPr>
            </w:pPr>
            <w:r>
              <w:rPr>
                <w:rFonts w:ascii="宋体" w:hAnsi="宋体" w:cs="宋体"/>
                <w:sz w:val="21"/>
                <w:szCs w:val="21"/>
              </w:rPr>
              <w:t>强化政治监督</w:t>
            </w:r>
            <w:r>
              <w:rPr>
                <w:rFonts w:hint="eastAsia" w:ascii="宋体" w:hAnsi="宋体" w:cs="宋体"/>
                <w:sz w:val="21"/>
                <w:szCs w:val="21"/>
              </w:rPr>
              <w:t>，深化为民初心，固化反腐败高压态势，优化自身建设。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b/>
                <w:sz w:val="21"/>
                <w:szCs w:val="21"/>
              </w:rPr>
            </w:pPr>
            <w:r>
              <w:rPr>
                <w:rFonts w:ascii="宋体" w:hAnsi="宋体" w:cs="宋体"/>
                <w:sz w:val="21"/>
                <w:szCs w:val="21"/>
              </w:rPr>
              <w:t>强化政治监督</w:t>
            </w:r>
            <w:r>
              <w:rPr>
                <w:rFonts w:hint="eastAsia" w:ascii="宋体" w:hAnsi="宋体" w:cs="宋体"/>
                <w:sz w:val="21"/>
                <w:szCs w:val="21"/>
              </w:rPr>
              <w:t>，深化为民初心，固化反腐败高压态势，优化自身建设。</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一级</w:t>
            </w:r>
          </w:p>
          <w:p>
            <w:pPr>
              <w:widowControl/>
              <w:spacing w:line="32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二级</w:t>
            </w:r>
          </w:p>
          <w:p>
            <w:pPr>
              <w:widowControl/>
              <w:spacing w:line="32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三级</w:t>
            </w:r>
          </w:p>
          <w:p>
            <w:pPr>
              <w:widowControl/>
              <w:spacing w:line="32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实际完成指标值</w:t>
            </w:r>
          </w:p>
        </w:tc>
      </w:tr>
      <w:tr>
        <w:tblPrEx>
          <w:tblCellMar>
            <w:top w:w="0" w:type="dxa"/>
            <w:left w:w="108" w:type="dxa"/>
            <w:bottom w:w="0" w:type="dxa"/>
            <w:right w:w="108" w:type="dxa"/>
          </w:tblCellMar>
        </w:tblPrEx>
        <w:trPr>
          <w:trHeight w:val="668"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完成</w:t>
            </w:r>
          </w:p>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2"/>
              </w:rPr>
            </w:pPr>
            <w:r>
              <w:rPr>
                <w:rFonts w:ascii="仿宋_GB2312" w:hAnsi="仿宋_GB2312" w:eastAsia="仿宋_GB2312" w:cs="仿宋_GB2312"/>
                <w:sz w:val="22"/>
                <w:szCs w:val="22"/>
              </w:rPr>
              <w:t>监督展开次数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大于等于</w:t>
            </w:r>
            <w:r>
              <w:rPr>
                <w:rFonts w:hint="eastAsia" w:ascii="仿宋_GB2312" w:hAnsi="仿宋_GB2312" w:eastAsia="仿宋_GB2312" w:cs="仿宋_GB2312"/>
                <w:sz w:val="22"/>
                <w:szCs w:val="22"/>
              </w:rPr>
              <w:t>100次</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大于等于</w:t>
            </w:r>
            <w:r>
              <w:rPr>
                <w:rFonts w:hint="eastAsia" w:ascii="仿宋_GB2312" w:hAnsi="仿宋_GB2312" w:eastAsia="仿宋_GB2312" w:cs="仿宋_GB2312"/>
                <w:sz w:val="22"/>
                <w:szCs w:val="22"/>
              </w:rPr>
              <w:t>100次</w:t>
            </w:r>
          </w:p>
        </w:tc>
      </w:tr>
      <w:tr>
        <w:tblPrEx>
          <w:tblCellMar>
            <w:top w:w="0" w:type="dxa"/>
            <w:left w:w="108" w:type="dxa"/>
            <w:bottom w:w="0" w:type="dxa"/>
            <w:right w:w="108" w:type="dxa"/>
          </w:tblCellMar>
        </w:tblPrEx>
        <w:trPr>
          <w:trHeight w:val="658"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2"/>
                <w:szCs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2"/>
              </w:rPr>
            </w:pPr>
            <w:r>
              <w:rPr>
                <w:rFonts w:ascii="仿宋_GB2312" w:hAnsi="仿宋_GB2312" w:eastAsia="仿宋_GB2312" w:cs="仿宋_GB2312"/>
                <w:sz w:val="22"/>
                <w:szCs w:val="22"/>
              </w:rPr>
              <w:t>微信公众号关注人数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达到</w:t>
            </w:r>
            <w:r>
              <w:rPr>
                <w:rFonts w:hint="eastAsia" w:ascii="仿宋_GB2312" w:hAnsi="仿宋_GB2312" w:eastAsia="仿宋_GB2312" w:cs="仿宋_GB2312"/>
                <w:sz w:val="22"/>
                <w:szCs w:val="22"/>
              </w:rPr>
              <w:t>18000人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达到</w:t>
            </w:r>
            <w:r>
              <w:rPr>
                <w:rFonts w:hint="eastAsia" w:ascii="仿宋_GB2312" w:hAnsi="仿宋_GB2312" w:eastAsia="仿宋_GB2312" w:cs="仿宋_GB2312"/>
                <w:sz w:val="22"/>
                <w:szCs w:val="22"/>
              </w:rPr>
              <w:t>18000人</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2"/>
                <w:szCs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微信公众号推送时效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每天推送</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每</w:t>
            </w:r>
            <w:r>
              <w:rPr>
                <w:rFonts w:ascii="仿宋_GB2312" w:hAnsi="仿宋_GB2312" w:eastAsia="仿宋_GB2312" w:cs="仿宋_GB2312"/>
                <w:sz w:val="22"/>
                <w:szCs w:val="22"/>
              </w:rPr>
              <w:t>天推送</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2"/>
                <w:szCs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微信公众号消息推送</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3750元/月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3750元/月</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效益</w:t>
            </w:r>
          </w:p>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2"/>
                <w:szCs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良好党风政风形成带动社风</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持续向上向好</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2"/>
                <w:szCs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03" w:leftChars="87" w:hanging="220" w:hangingChars="100"/>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生态效益指标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2"/>
                <w:szCs w:val="22"/>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826"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2"/>
                <w:szCs w:val="22"/>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kern w:val="0"/>
                <w:sz w:val="22"/>
                <w:szCs w:val="22"/>
                <w:lang w:bidi="ar"/>
              </w:rPr>
              <w:t>满意</w:t>
            </w:r>
          </w:p>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满意度</w:t>
            </w:r>
          </w:p>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hint="eastAsia" w:ascii="仿宋_GB2312" w:hAnsi="仿宋_GB2312" w:eastAsia="仿宋_GB2312" w:cs="仿宋_GB2312"/>
                <w:sz w:val="22"/>
                <w:szCs w:val="22"/>
              </w:rPr>
              <w:t>服务对象满意度指标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群众满意度达到</w:t>
            </w:r>
            <w:r>
              <w:rPr>
                <w:rFonts w:hint="eastAsia" w:ascii="仿宋_GB2312" w:hAnsi="仿宋_GB2312" w:eastAsia="仿宋_GB2312" w:cs="仿宋_GB2312"/>
                <w:sz w:val="22"/>
                <w:szCs w:val="22"/>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2"/>
                <w:szCs w:val="22"/>
              </w:rPr>
            </w:pPr>
            <w:r>
              <w:rPr>
                <w:rFonts w:ascii="仿宋_GB2312" w:hAnsi="仿宋_GB2312" w:eastAsia="仿宋_GB2312" w:cs="仿宋_GB2312"/>
                <w:sz w:val="22"/>
                <w:szCs w:val="22"/>
              </w:rPr>
              <w:t>群众满意度达到</w:t>
            </w:r>
            <w:r>
              <w:rPr>
                <w:rFonts w:hint="eastAsia" w:ascii="仿宋_GB2312" w:hAnsi="仿宋_GB2312" w:eastAsia="仿宋_GB2312" w:cs="仿宋_GB2312"/>
                <w:sz w:val="22"/>
                <w:szCs w:val="22"/>
              </w:rPr>
              <w:t>90%</w:t>
            </w:r>
          </w:p>
        </w:tc>
      </w:tr>
    </w:tbl>
    <w:p>
      <w:pPr>
        <w:widowControl/>
        <w:jc w:val="center"/>
        <w:rPr>
          <w:rStyle w:val="24"/>
          <w:rFonts w:ascii="黑体" w:hAnsi="黑体" w:eastAsia="黑体"/>
          <w:b w:val="0"/>
        </w:rPr>
      </w:pPr>
    </w:p>
    <w:bookmarkEnd w:id="49"/>
    <w:p>
      <w:pPr>
        <w:pStyle w:val="4"/>
        <w:rPr>
          <w:rFonts w:hint="eastAsia" w:ascii="黑体" w:hAnsi="黑体" w:eastAsia="黑体" w:cs="黑体"/>
          <w:b w:val="0"/>
          <w:color w:val="000000"/>
          <w:sz w:val="44"/>
          <w:szCs w:val="44"/>
        </w:rPr>
      </w:pPr>
      <w:bookmarkStart w:id="51" w:name="_Toc15396619"/>
      <w:r>
        <w:rPr>
          <w:rFonts w:hint="eastAsia" w:ascii="黑体" w:hAnsi="黑体" w:eastAsia="黑体" w:cs="黑体"/>
          <w:b w:val="0"/>
          <w:color w:val="000000"/>
          <w:sz w:val="44"/>
          <w:szCs w:val="44"/>
          <w:lang w:val="en-US" w:eastAsia="zh-CN"/>
        </w:rPr>
        <w:t>第五部分  附表</w:t>
      </w:r>
    </w:p>
    <w:p>
      <w:pPr>
        <w:pStyle w:val="4"/>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51"/>
    </w:p>
    <w:p>
      <w:pPr>
        <w:pStyle w:val="4"/>
        <w:rPr>
          <w:rFonts w:ascii="仿宋" w:hAnsi="仿宋" w:eastAsia="仿宋"/>
          <w:color w:val="000000"/>
        </w:rPr>
      </w:pPr>
      <w:bookmarkStart w:id="5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2"/>
    </w:p>
    <w:p>
      <w:pPr>
        <w:pStyle w:val="4"/>
        <w:rPr>
          <w:rFonts w:ascii="仿宋" w:hAnsi="仿宋" w:eastAsia="仿宋"/>
          <w:color w:val="000000"/>
        </w:rPr>
      </w:pPr>
      <w:bookmarkStart w:id="5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3"/>
    </w:p>
    <w:p>
      <w:pPr>
        <w:pStyle w:val="4"/>
        <w:rPr>
          <w:rFonts w:ascii="仿宋" w:hAnsi="仿宋" w:eastAsia="仿宋"/>
          <w:b w:val="0"/>
          <w:color w:val="000000"/>
        </w:rPr>
      </w:pPr>
      <w:bookmarkStart w:id="5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4"/>
    </w:p>
    <w:p>
      <w:pPr>
        <w:pStyle w:val="4"/>
        <w:rPr>
          <w:rStyle w:val="25"/>
          <w:rFonts w:ascii="仿宋" w:hAnsi="仿宋" w:eastAsia="仿宋"/>
          <w:b w:val="0"/>
          <w:bCs w:val="0"/>
        </w:rPr>
      </w:pPr>
      <w:bookmarkStart w:id="5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5"/>
      <w:bookmarkStart w:id="56" w:name="_Toc15396624"/>
    </w:p>
    <w:p>
      <w:pPr>
        <w:pStyle w:val="4"/>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6"/>
    </w:p>
    <w:p>
      <w:pPr>
        <w:pStyle w:val="4"/>
        <w:rPr>
          <w:rFonts w:ascii="仿宋" w:hAnsi="仿宋" w:eastAsia="仿宋"/>
          <w:color w:val="000000"/>
        </w:rPr>
      </w:pPr>
      <w:bookmarkStart w:id="5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57"/>
    </w:p>
    <w:p>
      <w:pPr>
        <w:pStyle w:val="4"/>
        <w:rPr>
          <w:rFonts w:ascii="仿宋" w:hAnsi="仿宋" w:eastAsia="仿宋"/>
          <w:color w:val="000000"/>
        </w:rPr>
      </w:pPr>
      <w:bookmarkStart w:id="5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58"/>
    </w:p>
    <w:p>
      <w:pPr>
        <w:pStyle w:val="4"/>
        <w:rPr>
          <w:rFonts w:ascii="仿宋" w:hAnsi="仿宋" w:eastAsia="仿宋"/>
          <w:color w:val="000000"/>
        </w:rPr>
      </w:pPr>
      <w:bookmarkStart w:id="5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59"/>
    </w:p>
    <w:p>
      <w:pPr>
        <w:pStyle w:val="4"/>
        <w:rPr>
          <w:rFonts w:ascii="仿宋" w:hAnsi="仿宋" w:eastAsia="仿宋"/>
          <w:color w:val="000000"/>
        </w:rPr>
      </w:pPr>
      <w:bookmarkStart w:id="6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0"/>
    </w:p>
    <w:p>
      <w:pPr>
        <w:pStyle w:val="4"/>
        <w:rPr>
          <w:rFonts w:ascii="仿宋" w:hAnsi="仿宋" w:eastAsia="仿宋"/>
          <w:color w:val="000000"/>
        </w:rPr>
      </w:pPr>
      <w:bookmarkStart w:id="6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1"/>
    </w:p>
    <w:p>
      <w:pPr>
        <w:pStyle w:val="4"/>
        <w:rPr>
          <w:rFonts w:ascii="仿宋" w:hAnsi="仿宋" w:eastAsia="仿宋"/>
          <w:color w:val="000000"/>
        </w:rPr>
      </w:pPr>
      <w:bookmarkStart w:id="6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2"/>
    </w:p>
    <w:p>
      <w:pPr>
        <w:pStyle w:val="4"/>
        <w:rPr>
          <w:rStyle w:val="25"/>
          <w:rFonts w:ascii="仿宋" w:hAnsi="仿宋" w:eastAsia="仿宋"/>
          <w:b w:val="0"/>
          <w:bCs w:val="0"/>
        </w:rPr>
      </w:pPr>
      <w:bookmarkStart w:id="63" w:name="_Toc15396631"/>
      <w:r>
        <w:rPr>
          <w:rStyle w:val="25"/>
          <w:rFonts w:hint="eastAsia" w:ascii="仿宋" w:hAnsi="仿宋" w:eastAsia="仿宋"/>
          <w:b w:val="0"/>
          <w:bCs w:val="0"/>
        </w:rPr>
        <w:t>十三、</w:t>
      </w:r>
      <w:r>
        <w:rPr>
          <w:rFonts w:hint="eastAsia" w:ascii="仿宋" w:hAnsi="仿宋" w:eastAsia="仿宋"/>
          <w:b w:val="0"/>
          <w:color w:val="000000"/>
        </w:rPr>
        <w:t>国有资本经营预算财政拨款收入支出决算表</w:t>
      </w:r>
    </w:p>
    <w:p>
      <w:pPr>
        <w:pStyle w:val="4"/>
        <w:rPr>
          <w:rFonts w:ascii="仿宋" w:hAnsi="仿宋" w:eastAsia="仿宋"/>
          <w:color w:val="000000" w:themeColor="text1"/>
          <w14:textFill>
            <w14:solidFill>
              <w14:schemeClr w14:val="tx1"/>
            </w14:solidFill>
          </w14:textFill>
        </w:rPr>
      </w:pPr>
      <w:r>
        <w:rPr>
          <w:rFonts w:hint="eastAsia" w:ascii="仿宋" w:hAnsi="仿宋" w:eastAsia="仿宋"/>
          <w:b w:val="0"/>
          <w:color w:val="000000"/>
        </w:rPr>
        <w:t>十四、国</w:t>
      </w:r>
      <w:r>
        <w:rPr>
          <w:rStyle w:val="25"/>
          <w:rFonts w:hint="eastAsia" w:ascii="仿宋" w:hAnsi="仿宋" w:eastAsia="仿宋"/>
          <w:b w:val="0"/>
          <w:bCs w:val="0"/>
        </w:rPr>
        <w:t>有资本经营预算财政拨款支出决算表</w:t>
      </w:r>
      <w:bookmarkEnd w:id="63"/>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938428"/>
    </w:sdtPr>
    <w:sdtContent>
      <w:p>
        <w:pPr>
          <w:pStyle w:val="2"/>
          <w:jc w:val="center"/>
        </w:pPr>
        <w:r>
          <w:fldChar w:fldCharType="begin"/>
        </w:r>
        <w:r>
          <w:instrText xml:space="preserve">PAGE   \* MERGEFORMAT</w:instrText>
        </w:r>
        <w:r>
          <w:fldChar w:fldCharType="separate"/>
        </w:r>
        <w:r>
          <w:rPr>
            <w:lang w:val="zh-CN"/>
          </w:rPr>
          <w:t>30</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E794925"/>
    <w:multiLevelType w:val="singleLevel"/>
    <w:tmpl w:val="3E794925"/>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WNlYTg4YzdlNGFhZjhmOWJiZTJiYzg5NzU5Z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042C"/>
    <w:rsid w:val="000C3467"/>
    <w:rsid w:val="000C3CA6"/>
    <w:rsid w:val="000D1267"/>
    <w:rsid w:val="000D1D50"/>
    <w:rsid w:val="000D5782"/>
    <w:rsid w:val="000E6613"/>
    <w:rsid w:val="000E7119"/>
    <w:rsid w:val="000F1075"/>
    <w:rsid w:val="000F5200"/>
    <w:rsid w:val="00102619"/>
    <w:rsid w:val="00114E9B"/>
    <w:rsid w:val="00116C3C"/>
    <w:rsid w:val="00126C51"/>
    <w:rsid w:val="00142216"/>
    <w:rsid w:val="0014367E"/>
    <w:rsid w:val="00144D6A"/>
    <w:rsid w:val="0014729F"/>
    <w:rsid w:val="00157BAB"/>
    <w:rsid w:val="001654D1"/>
    <w:rsid w:val="001709DD"/>
    <w:rsid w:val="00171C7D"/>
    <w:rsid w:val="00174518"/>
    <w:rsid w:val="0018106D"/>
    <w:rsid w:val="001877A7"/>
    <w:rsid w:val="00191536"/>
    <w:rsid w:val="00196687"/>
    <w:rsid w:val="001B62EE"/>
    <w:rsid w:val="001C0962"/>
    <w:rsid w:val="001D7531"/>
    <w:rsid w:val="001D772C"/>
    <w:rsid w:val="001E2F99"/>
    <w:rsid w:val="001E737D"/>
    <w:rsid w:val="001F0592"/>
    <w:rsid w:val="001F41E7"/>
    <w:rsid w:val="001F7506"/>
    <w:rsid w:val="002006CD"/>
    <w:rsid w:val="00202B36"/>
    <w:rsid w:val="00204B7A"/>
    <w:rsid w:val="00204CDE"/>
    <w:rsid w:val="0021101A"/>
    <w:rsid w:val="00220536"/>
    <w:rsid w:val="00222EE4"/>
    <w:rsid w:val="00225962"/>
    <w:rsid w:val="00235629"/>
    <w:rsid w:val="0024772C"/>
    <w:rsid w:val="00260C38"/>
    <w:rsid w:val="002616C0"/>
    <w:rsid w:val="00265372"/>
    <w:rsid w:val="002662AA"/>
    <w:rsid w:val="0027099D"/>
    <w:rsid w:val="0027578D"/>
    <w:rsid w:val="00280496"/>
    <w:rsid w:val="00294DC9"/>
    <w:rsid w:val="00295495"/>
    <w:rsid w:val="00296909"/>
    <w:rsid w:val="002A31DE"/>
    <w:rsid w:val="002B2095"/>
    <w:rsid w:val="002B2613"/>
    <w:rsid w:val="002C6E00"/>
    <w:rsid w:val="002D28E8"/>
    <w:rsid w:val="002D6D05"/>
    <w:rsid w:val="002F1818"/>
    <w:rsid w:val="002F567B"/>
    <w:rsid w:val="00301DBF"/>
    <w:rsid w:val="003162EA"/>
    <w:rsid w:val="003216A9"/>
    <w:rsid w:val="00335A74"/>
    <w:rsid w:val="0036561B"/>
    <w:rsid w:val="0037013F"/>
    <w:rsid w:val="0037234E"/>
    <w:rsid w:val="00380C92"/>
    <w:rsid w:val="00382DA5"/>
    <w:rsid w:val="003A28EA"/>
    <w:rsid w:val="003A484F"/>
    <w:rsid w:val="003A4883"/>
    <w:rsid w:val="003B0BE0"/>
    <w:rsid w:val="003B0C1B"/>
    <w:rsid w:val="003B688C"/>
    <w:rsid w:val="003C0291"/>
    <w:rsid w:val="003C2CB5"/>
    <w:rsid w:val="003C39AE"/>
    <w:rsid w:val="003C7B60"/>
    <w:rsid w:val="003D0C0F"/>
    <w:rsid w:val="003D1FB2"/>
    <w:rsid w:val="003D66DA"/>
    <w:rsid w:val="003E1310"/>
    <w:rsid w:val="003E6F55"/>
    <w:rsid w:val="003F752A"/>
    <w:rsid w:val="0040092B"/>
    <w:rsid w:val="00406254"/>
    <w:rsid w:val="004223DE"/>
    <w:rsid w:val="00434489"/>
    <w:rsid w:val="00437085"/>
    <w:rsid w:val="00443880"/>
    <w:rsid w:val="004455AF"/>
    <w:rsid w:val="004464F4"/>
    <w:rsid w:val="00471401"/>
    <w:rsid w:val="00473F31"/>
    <w:rsid w:val="0048263A"/>
    <w:rsid w:val="00487E5D"/>
    <w:rsid w:val="00492947"/>
    <w:rsid w:val="004A426D"/>
    <w:rsid w:val="004A711F"/>
    <w:rsid w:val="004B199D"/>
    <w:rsid w:val="004B4690"/>
    <w:rsid w:val="004B603D"/>
    <w:rsid w:val="004E0A2D"/>
    <w:rsid w:val="004E206B"/>
    <w:rsid w:val="004E6DF7"/>
    <w:rsid w:val="004F0FBD"/>
    <w:rsid w:val="004F2B3F"/>
    <w:rsid w:val="004F3E5C"/>
    <w:rsid w:val="0050215D"/>
    <w:rsid w:val="00505A47"/>
    <w:rsid w:val="00505EF8"/>
    <w:rsid w:val="00507D58"/>
    <w:rsid w:val="00512FDA"/>
    <w:rsid w:val="00520DA0"/>
    <w:rsid w:val="005618E1"/>
    <w:rsid w:val="005664BB"/>
    <w:rsid w:val="00566FFA"/>
    <w:rsid w:val="0057481D"/>
    <w:rsid w:val="0058486E"/>
    <w:rsid w:val="00585B33"/>
    <w:rsid w:val="0059014D"/>
    <w:rsid w:val="005B5C64"/>
    <w:rsid w:val="005C5337"/>
    <w:rsid w:val="005C6BD0"/>
    <w:rsid w:val="005D1C8B"/>
    <w:rsid w:val="005D468D"/>
    <w:rsid w:val="005D5CED"/>
    <w:rsid w:val="005F1A4C"/>
    <w:rsid w:val="005F7BEB"/>
    <w:rsid w:val="006011EB"/>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4CA1"/>
    <w:rsid w:val="00697308"/>
    <w:rsid w:val="006A3141"/>
    <w:rsid w:val="006A5E34"/>
    <w:rsid w:val="006B2422"/>
    <w:rsid w:val="006B2B9A"/>
    <w:rsid w:val="006C1937"/>
    <w:rsid w:val="006F020C"/>
    <w:rsid w:val="006F77B4"/>
    <w:rsid w:val="00701E59"/>
    <w:rsid w:val="00705A26"/>
    <w:rsid w:val="007127B7"/>
    <w:rsid w:val="0071798E"/>
    <w:rsid w:val="007416B6"/>
    <w:rsid w:val="00746F48"/>
    <w:rsid w:val="0075404D"/>
    <w:rsid w:val="00756639"/>
    <w:rsid w:val="0076182A"/>
    <w:rsid w:val="00767B7E"/>
    <w:rsid w:val="007770C3"/>
    <w:rsid w:val="00784D24"/>
    <w:rsid w:val="00785824"/>
    <w:rsid w:val="00785FBA"/>
    <w:rsid w:val="00786E4A"/>
    <w:rsid w:val="007875EB"/>
    <w:rsid w:val="0079426B"/>
    <w:rsid w:val="007B4F6F"/>
    <w:rsid w:val="007C608E"/>
    <w:rsid w:val="007D1682"/>
    <w:rsid w:val="007D1D9A"/>
    <w:rsid w:val="007D312A"/>
    <w:rsid w:val="007D3F19"/>
    <w:rsid w:val="007E23B0"/>
    <w:rsid w:val="007E23E5"/>
    <w:rsid w:val="007F1991"/>
    <w:rsid w:val="007F2C2F"/>
    <w:rsid w:val="007F3CEB"/>
    <w:rsid w:val="007F55FC"/>
    <w:rsid w:val="007F5665"/>
    <w:rsid w:val="00800112"/>
    <w:rsid w:val="00805643"/>
    <w:rsid w:val="008056D8"/>
    <w:rsid w:val="0080587C"/>
    <w:rsid w:val="008128CE"/>
    <w:rsid w:val="00813348"/>
    <w:rsid w:val="008253BB"/>
    <w:rsid w:val="008271CD"/>
    <w:rsid w:val="0083706E"/>
    <w:rsid w:val="008408F6"/>
    <w:rsid w:val="008422D9"/>
    <w:rsid w:val="008423A5"/>
    <w:rsid w:val="00850625"/>
    <w:rsid w:val="00852CE4"/>
    <w:rsid w:val="00853718"/>
    <w:rsid w:val="00855221"/>
    <w:rsid w:val="00860645"/>
    <w:rsid w:val="00871F71"/>
    <w:rsid w:val="00872FD8"/>
    <w:rsid w:val="008737AE"/>
    <w:rsid w:val="00885AF4"/>
    <w:rsid w:val="008939CD"/>
    <w:rsid w:val="008B768C"/>
    <w:rsid w:val="008C4DB1"/>
    <w:rsid w:val="008C4EAF"/>
    <w:rsid w:val="008C5176"/>
    <w:rsid w:val="008C7FD0"/>
    <w:rsid w:val="008D33C5"/>
    <w:rsid w:val="008D46D0"/>
    <w:rsid w:val="008D62E1"/>
    <w:rsid w:val="008E1DE7"/>
    <w:rsid w:val="008E707C"/>
    <w:rsid w:val="00900B08"/>
    <w:rsid w:val="00902155"/>
    <w:rsid w:val="00902FA3"/>
    <w:rsid w:val="00923564"/>
    <w:rsid w:val="0092392E"/>
    <w:rsid w:val="009315F9"/>
    <w:rsid w:val="00933499"/>
    <w:rsid w:val="00935C98"/>
    <w:rsid w:val="009430E4"/>
    <w:rsid w:val="00946945"/>
    <w:rsid w:val="00946B9A"/>
    <w:rsid w:val="009507AA"/>
    <w:rsid w:val="00951248"/>
    <w:rsid w:val="0095152F"/>
    <w:rsid w:val="00954C49"/>
    <w:rsid w:val="00955E37"/>
    <w:rsid w:val="0096093B"/>
    <w:rsid w:val="0097099F"/>
    <w:rsid w:val="00971997"/>
    <w:rsid w:val="00971FFC"/>
    <w:rsid w:val="00976628"/>
    <w:rsid w:val="009800ED"/>
    <w:rsid w:val="0098660A"/>
    <w:rsid w:val="009931C3"/>
    <w:rsid w:val="0099371D"/>
    <w:rsid w:val="009B2C43"/>
    <w:rsid w:val="009B4EAE"/>
    <w:rsid w:val="009B7573"/>
    <w:rsid w:val="009C13FF"/>
    <w:rsid w:val="009C22F4"/>
    <w:rsid w:val="009C2A4B"/>
    <w:rsid w:val="009C2E98"/>
    <w:rsid w:val="009C4132"/>
    <w:rsid w:val="009C52D6"/>
    <w:rsid w:val="009D29F3"/>
    <w:rsid w:val="009D3447"/>
    <w:rsid w:val="009D37AE"/>
    <w:rsid w:val="009D4711"/>
    <w:rsid w:val="009F1185"/>
    <w:rsid w:val="009F18CD"/>
    <w:rsid w:val="009F2A13"/>
    <w:rsid w:val="009F2AD7"/>
    <w:rsid w:val="009F7527"/>
    <w:rsid w:val="00A04EB0"/>
    <w:rsid w:val="00A13CC1"/>
    <w:rsid w:val="00A16847"/>
    <w:rsid w:val="00A237D8"/>
    <w:rsid w:val="00A254E7"/>
    <w:rsid w:val="00A268C4"/>
    <w:rsid w:val="00A307CD"/>
    <w:rsid w:val="00A331C8"/>
    <w:rsid w:val="00A40A00"/>
    <w:rsid w:val="00A4142F"/>
    <w:rsid w:val="00A422EB"/>
    <w:rsid w:val="00A45BB7"/>
    <w:rsid w:val="00A56DF2"/>
    <w:rsid w:val="00A56E6E"/>
    <w:rsid w:val="00A67AB5"/>
    <w:rsid w:val="00A733B2"/>
    <w:rsid w:val="00A741C2"/>
    <w:rsid w:val="00A74426"/>
    <w:rsid w:val="00A80CB7"/>
    <w:rsid w:val="00A90176"/>
    <w:rsid w:val="00A90EE7"/>
    <w:rsid w:val="00A91760"/>
    <w:rsid w:val="00A93B00"/>
    <w:rsid w:val="00A93C21"/>
    <w:rsid w:val="00AB64C9"/>
    <w:rsid w:val="00AC3C6A"/>
    <w:rsid w:val="00AC6FA5"/>
    <w:rsid w:val="00AD0084"/>
    <w:rsid w:val="00AD5620"/>
    <w:rsid w:val="00AD656B"/>
    <w:rsid w:val="00AD7C1B"/>
    <w:rsid w:val="00AE16BA"/>
    <w:rsid w:val="00AE1EBE"/>
    <w:rsid w:val="00AF0CBB"/>
    <w:rsid w:val="00B03C9D"/>
    <w:rsid w:val="00B060AE"/>
    <w:rsid w:val="00B10517"/>
    <w:rsid w:val="00B12025"/>
    <w:rsid w:val="00B14E76"/>
    <w:rsid w:val="00B161B8"/>
    <w:rsid w:val="00B2048C"/>
    <w:rsid w:val="00B310B9"/>
    <w:rsid w:val="00B35F3F"/>
    <w:rsid w:val="00B36CBB"/>
    <w:rsid w:val="00B41CCE"/>
    <w:rsid w:val="00B425E0"/>
    <w:rsid w:val="00B440AA"/>
    <w:rsid w:val="00B44B70"/>
    <w:rsid w:val="00B535BE"/>
    <w:rsid w:val="00B53C56"/>
    <w:rsid w:val="00B57DAF"/>
    <w:rsid w:val="00B749B2"/>
    <w:rsid w:val="00B77EA6"/>
    <w:rsid w:val="00B81598"/>
    <w:rsid w:val="00B841F1"/>
    <w:rsid w:val="00B944D6"/>
    <w:rsid w:val="00BB3547"/>
    <w:rsid w:val="00BB4DF0"/>
    <w:rsid w:val="00BC289F"/>
    <w:rsid w:val="00BC2D50"/>
    <w:rsid w:val="00BC5361"/>
    <w:rsid w:val="00BC5460"/>
    <w:rsid w:val="00BC6B50"/>
    <w:rsid w:val="00BD0E25"/>
    <w:rsid w:val="00BD787B"/>
    <w:rsid w:val="00BF5BD6"/>
    <w:rsid w:val="00C007C8"/>
    <w:rsid w:val="00C03E31"/>
    <w:rsid w:val="00C33E72"/>
    <w:rsid w:val="00C354B2"/>
    <w:rsid w:val="00C35554"/>
    <w:rsid w:val="00C42709"/>
    <w:rsid w:val="00C43F43"/>
    <w:rsid w:val="00C533CC"/>
    <w:rsid w:val="00C5751C"/>
    <w:rsid w:val="00C61BFC"/>
    <w:rsid w:val="00C62B85"/>
    <w:rsid w:val="00C65438"/>
    <w:rsid w:val="00C84710"/>
    <w:rsid w:val="00C87FD8"/>
    <w:rsid w:val="00C91381"/>
    <w:rsid w:val="00C91CBB"/>
    <w:rsid w:val="00CB4E70"/>
    <w:rsid w:val="00CC09B6"/>
    <w:rsid w:val="00CC666F"/>
    <w:rsid w:val="00CD0043"/>
    <w:rsid w:val="00CD122A"/>
    <w:rsid w:val="00CD1E3F"/>
    <w:rsid w:val="00CE44F6"/>
    <w:rsid w:val="00CE49DA"/>
    <w:rsid w:val="00CE7B61"/>
    <w:rsid w:val="00D00095"/>
    <w:rsid w:val="00D114F0"/>
    <w:rsid w:val="00D15909"/>
    <w:rsid w:val="00D20620"/>
    <w:rsid w:val="00D254F7"/>
    <w:rsid w:val="00D26091"/>
    <w:rsid w:val="00D2685C"/>
    <w:rsid w:val="00D34E7C"/>
    <w:rsid w:val="00D35489"/>
    <w:rsid w:val="00D36AE6"/>
    <w:rsid w:val="00D36AFE"/>
    <w:rsid w:val="00D51276"/>
    <w:rsid w:val="00D53312"/>
    <w:rsid w:val="00D641E8"/>
    <w:rsid w:val="00D7035F"/>
    <w:rsid w:val="00D72B30"/>
    <w:rsid w:val="00D74AA3"/>
    <w:rsid w:val="00DA634F"/>
    <w:rsid w:val="00DA65AC"/>
    <w:rsid w:val="00DB1913"/>
    <w:rsid w:val="00DB6FFB"/>
    <w:rsid w:val="00DC410D"/>
    <w:rsid w:val="00DC5A81"/>
    <w:rsid w:val="00DC68CA"/>
    <w:rsid w:val="00DC7CBA"/>
    <w:rsid w:val="00DD73B7"/>
    <w:rsid w:val="00DF28BC"/>
    <w:rsid w:val="00DF295E"/>
    <w:rsid w:val="00DF34B9"/>
    <w:rsid w:val="00E01053"/>
    <w:rsid w:val="00E0153C"/>
    <w:rsid w:val="00E07ACF"/>
    <w:rsid w:val="00E237B1"/>
    <w:rsid w:val="00E331A1"/>
    <w:rsid w:val="00E33202"/>
    <w:rsid w:val="00E336A9"/>
    <w:rsid w:val="00E472B1"/>
    <w:rsid w:val="00E50624"/>
    <w:rsid w:val="00E568DF"/>
    <w:rsid w:val="00E64269"/>
    <w:rsid w:val="00E74A25"/>
    <w:rsid w:val="00E82267"/>
    <w:rsid w:val="00E853CE"/>
    <w:rsid w:val="00E867B6"/>
    <w:rsid w:val="00E97FDA"/>
    <w:rsid w:val="00EA010F"/>
    <w:rsid w:val="00EA5DED"/>
    <w:rsid w:val="00EC5F5F"/>
    <w:rsid w:val="00ED1B63"/>
    <w:rsid w:val="00ED3C1F"/>
    <w:rsid w:val="00ED4085"/>
    <w:rsid w:val="00ED420E"/>
    <w:rsid w:val="00ED6FBE"/>
    <w:rsid w:val="00EE29CD"/>
    <w:rsid w:val="00EE2F57"/>
    <w:rsid w:val="00EF4C34"/>
    <w:rsid w:val="00EF4D5E"/>
    <w:rsid w:val="00EF77C6"/>
    <w:rsid w:val="00EF7E8A"/>
    <w:rsid w:val="00F01254"/>
    <w:rsid w:val="00F05438"/>
    <w:rsid w:val="00F1361C"/>
    <w:rsid w:val="00F156F0"/>
    <w:rsid w:val="00F160C7"/>
    <w:rsid w:val="00F21303"/>
    <w:rsid w:val="00F2408F"/>
    <w:rsid w:val="00F240E9"/>
    <w:rsid w:val="00F36D8F"/>
    <w:rsid w:val="00F417B1"/>
    <w:rsid w:val="00F45853"/>
    <w:rsid w:val="00F602DF"/>
    <w:rsid w:val="00F701D8"/>
    <w:rsid w:val="00F70BAA"/>
    <w:rsid w:val="00F754A1"/>
    <w:rsid w:val="00F81FD9"/>
    <w:rsid w:val="00F841AA"/>
    <w:rsid w:val="00F84A94"/>
    <w:rsid w:val="00F87E96"/>
    <w:rsid w:val="00FA23E8"/>
    <w:rsid w:val="00FB27DB"/>
    <w:rsid w:val="00FD3CC1"/>
    <w:rsid w:val="00FD728B"/>
    <w:rsid w:val="00FE2DF3"/>
    <w:rsid w:val="00FF1E02"/>
    <w:rsid w:val="00FF30B4"/>
    <w:rsid w:val="011B4CC7"/>
    <w:rsid w:val="0303402E"/>
    <w:rsid w:val="066E0107"/>
    <w:rsid w:val="06BF7C65"/>
    <w:rsid w:val="07996F6E"/>
    <w:rsid w:val="07A015D4"/>
    <w:rsid w:val="088749D3"/>
    <w:rsid w:val="0A2032A3"/>
    <w:rsid w:val="0F0E7253"/>
    <w:rsid w:val="101860EC"/>
    <w:rsid w:val="10C055FF"/>
    <w:rsid w:val="118107EC"/>
    <w:rsid w:val="127171FB"/>
    <w:rsid w:val="13D50BC4"/>
    <w:rsid w:val="15961CA4"/>
    <w:rsid w:val="16BB723D"/>
    <w:rsid w:val="1BE8440E"/>
    <w:rsid w:val="1D155CEE"/>
    <w:rsid w:val="1DCD1E10"/>
    <w:rsid w:val="1F2965A2"/>
    <w:rsid w:val="23860B96"/>
    <w:rsid w:val="240371BF"/>
    <w:rsid w:val="263C0B57"/>
    <w:rsid w:val="27E11303"/>
    <w:rsid w:val="286135A9"/>
    <w:rsid w:val="29FD04D3"/>
    <w:rsid w:val="2C8A61B5"/>
    <w:rsid w:val="2D2830AB"/>
    <w:rsid w:val="2DF04E50"/>
    <w:rsid w:val="31081DC8"/>
    <w:rsid w:val="319F7F4E"/>
    <w:rsid w:val="345134E8"/>
    <w:rsid w:val="345C1ECF"/>
    <w:rsid w:val="356B22EF"/>
    <w:rsid w:val="36AA5135"/>
    <w:rsid w:val="37E16F03"/>
    <w:rsid w:val="3B462B82"/>
    <w:rsid w:val="3D98207C"/>
    <w:rsid w:val="3E661064"/>
    <w:rsid w:val="42FC2C11"/>
    <w:rsid w:val="43A947C6"/>
    <w:rsid w:val="447C7272"/>
    <w:rsid w:val="44E268DA"/>
    <w:rsid w:val="483A653A"/>
    <w:rsid w:val="4A627F82"/>
    <w:rsid w:val="4B4F25DA"/>
    <w:rsid w:val="4BE068DB"/>
    <w:rsid w:val="4D577224"/>
    <w:rsid w:val="4EAB630A"/>
    <w:rsid w:val="4ECE2238"/>
    <w:rsid w:val="54EB3100"/>
    <w:rsid w:val="56D706D8"/>
    <w:rsid w:val="581450C2"/>
    <w:rsid w:val="5AD40F9F"/>
    <w:rsid w:val="5AF92295"/>
    <w:rsid w:val="5CD71FC4"/>
    <w:rsid w:val="5EC16D37"/>
    <w:rsid w:val="5F7E77D8"/>
    <w:rsid w:val="64A01811"/>
    <w:rsid w:val="6C4A05C8"/>
    <w:rsid w:val="6E7E3605"/>
    <w:rsid w:val="6FF5CC65"/>
    <w:rsid w:val="715C0E4B"/>
    <w:rsid w:val="72734D90"/>
    <w:rsid w:val="727D5E85"/>
    <w:rsid w:val="72C14E8A"/>
    <w:rsid w:val="738A40A5"/>
    <w:rsid w:val="73AD73D5"/>
    <w:rsid w:val="73B6EB34"/>
    <w:rsid w:val="79EE5BA4"/>
    <w:rsid w:val="7A894339"/>
    <w:rsid w:val="7B796423"/>
    <w:rsid w:val="7BFE91DA"/>
    <w:rsid w:val="7EEF11D3"/>
    <w:rsid w:val="7F3B7BE9"/>
    <w:rsid w:val="7FA30C79"/>
    <w:rsid w:val="7FC96657"/>
    <w:rsid w:val="BFD55293"/>
    <w:rsid w:val="D8D6DB89"/>
    <w:rsid w:val="DB6F4CAB"/>
    <w:rsid w:val="DF6F9789"/>
    <w:rsid w:val="FFFF69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Desktop\&#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183479576645"/>
          <c:y val="0.0632971965460839"/>
          <c:w val="0.741575695619191"/>
          <c:h val="0.821501768800639"/>
        </c:manualLayout>
      </c:layout>
      <c:barChart>
        <c:barDir val="col"/>
        <c:grouping val="clustered"/>
        <c:varyColors val="0"/>
        <c:ser>
          <c:idx val="0"/>
          <c:order val="0"/>
          <c:tx>
            <c:strRef>
              <c:f>Sheet1!$B$1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2252.89</c:v>
                </c:pt>
                <c:pt idx="1">
                  <c:v>2296.18</c:v>
                </c:pt>
              </c:numCache>
            </c:numRef>
          </c:val>
        </c:ser>
        <c:ser>
          <c:idx val="1"/>
          <c:order val="1"/>
          <c:tx>
            <c:strRef>
              <c:f>Sheet1!$C$1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2343.94</c:v>
                </c:pt>
                <c:pt idx="1">
                  <c:v>2343.94</c:v>
                </c:pt>
              </c:numCache>
            </c:numRef>
          </c:val>
        </c:ser>
        <c:dLbls>
          <c:showLegendKey val="0"/>
          <c:showVal val="0"/>
          <c:showCatName val="0"/>
          <c:showSerName val="0"/>
          <c:showPercent val="0"/>
          <c:showBubbleSize val="0"/>
        </c:dLbls>
        <c:gapWidth val="150"/>
        <c:axId val="296551552"/>
        <c:axId val="305947776"/>
      </c:barChart>
      <c:catAx>
        <c:axId val="296551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5947776"/>
        <c:crosses val="autoZero"/>
        <c:auto val="1"/>
        <c:lblAlgn val="ctr"/>
        <c:lblOffset val="100"/>
        <c:noMultiLvlLbl val="0"/>
      </c:catAx>
      <c:valAx>
        <c:axId val="305947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65515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收入决算结构图</a:t>
            </a:r>
            <a:endParaRPr lang="zh-CN" altLang="en-US" sz="140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Lbls>
            <c:dLbl>
              <c:idx val="0"/>
              <c:layout>
                <c:manualLayout>
                  <c:x val="-0.003854512766829"/>
                  <c:y val="-0.27472616356123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sz="900"/>
                      <a:t>一般公共预算财政补款收入</a:t>
                    </a:r>
                    <a:r>
                      <a:rPr lang="en-US" altLang="zh-CN" sz="900"/>
                      <a:t>2343.94</a:t>
                    </a:r>
                    <a:r>
                      <a:rPr lang="zh-CN" altLang="en-US" sz="900"/>
                      <a:t>万元，占比</a:t>
                    </a:r>
                    <a:r>
                      <a:rPr lang="en-US" altLang="zh-CN" sz="900"/>
                      <a:t>100%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Sheet1!$A$2:$A$2</c:f>
              <c:strCache>
                <c:ptCount val="1"/>
                <c:pt idx="0">
                  <c:v>一般公共预算财政拨款收入</c:v>
                </c:pt>
              </c:strCache>
            </c:strRef>
          </c:cat>
          <c:val>
            <c:numRef>
              <c:f>Sheet1!$B$2:$B$2</c:f>
              <c:numCache>
                <c:formatCode>General</c:formatCode>
                <c:ptCount val="1"/>
                <c:pt idx="0">
                  <c:v>8.2</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基本支出2110.54万元，占比90%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项目支出233.4万元，占比10%</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c:v>
                </c:pt>
                <c:pt idx="1">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支出决算结构图</a:t>
            </a:r>
            <a:r>
              <a:rPr lang="zh-CN" altLang="en-US" sz="900" b="0"/>
              <a:t>（单位：万元）</a:t>
            </a:r>
            <a:endParaRPr lang="en-US" altLang="zh-CN" sz="900" b="0"/>
          </a:p>
        </c:rich>
      </c:tx>
      <c:layout/>
      <c:overlay val="0"/>
    </c:title>
    <c:autoTitleDeleted val="0"/>
    <c:plotArea>
      <c:layout/>
      <c:pieChart>
        <c:varyColors val="1"/>
        <c:ser>
          <c:idx val="0"/>
          <c:order val="0"/>
          <c:tx>
            <c:strRef>
              <c:f>Sheet1!$B$1</c:f>
              <c:strCache>
                <c:ptCount val="1"/>
                <c:pt idx="0">
                  <c:v>支出金额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1908.35</c:v>
                </c:pt>
                <c:pt idx="1">
                  <c:v>387.83</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2252.89</c:v>
                </c:pt>
                <c:pt idx="1">
                  <c:v>2296.18</c:v>
                </c:pt>
              </c:numCache>
            </c:numRef>
          </c:val>
        </c:ser>
        <c:ser>
          <c:idx val="1"/>
          <c:order val="1"/>
          <c:tx>
            <c:strRef>
              <c:f>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2343.94</c:v>
                </c:pt>
                <c:pt idx="1">
                  <c:v>2343.94</c:v>
                </c:pt>
              </c:numCache>
            </c:numRef>
          </c:val>
        </c:ser>
        <c:dLbls>
          <c:showLegendKey val="0"/>
          <c:showVal val="0"/>
          <c:showCatName val="0"/>
          <c:showSerName val="0"/>
          <c:showPercent val="0"/>
          <c:showBubbleSize val="0"/>
        </c:dLbls>
        <c:gapWidth val="150"/>
        <c:axId val="316907520"/>
        <c:axId val="316909056"/>
      </c:barChart>
      <c:catAx>
        <c:axId val="3169075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6909056"/>
        <c:crosses val="autoZero"/>
        <c:auto val="1"/>
        <c:lblAlgn val="ctr"/>
        <c:lblOffset val="100"/>
        <c:noMultiLvlLbl val="0"/>
      </c:catAx>
      <c:valAx>
        <c:axId val="3169090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16907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zh-CN" sz="1400" b="1" i="0" u="none" strike="noStrike" baseline="0">
                <a:effectLst/>
              </a:rPr>
              <a:t>一般公共预算财政拨款支出决算变动情况</a:t>
            </a:r>
            <a:endParaRPr lang="en-US" altLang="zh-CN" sz="1400"/>
          </a:p>
        </c:rich>
      </c:tx>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2296.18</c:v>
                </c:pt>
                <c:pt idx="1">
                  <c:v>2343.94</c:v>
                </c:pt>
              </c:numCache>
            </c:numRef>
          </c:val>
        </c:ser>
        <c:dLbls>
          <c:showLegendKey val="0"/>
          <c:showVal val="0"/>
          <c:showCatName val="0"/>
          <c:showSerName val="0"/>
          <c:showPercent val="0"/>
          <c:showBubbleSize val="0"/>
        </c:dLbls>
        <c:gapWidth val="150"/>
        <c:axId val="347407872"/>
        <c:axId val="347409408"/>
      </c:barChart>
      <c:catAx>
        <c:axId val="3474078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7409408"/>
        <c:crosses val="autoZero"/>
        <c:auto val="1"/>
        <c:lblAlgn val="ctr"/>
        <c:lblOffset val="100"/>
        <c:noMultiLvlLbl val="0"/>
      </c:catAx>
      <c:valAx>
        <c:axId val="347409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740787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zh-CN" sz="1400" b="1" i="0" u="none" strike="noStrike" baseline="0">
                <a:effectLst/>
              </a:rPr>
              <a:t>一般公共预算财政拨款支出决算结构</a:t>
            </a:r>
            <a:endParaRPr lang="zh-CN" altLang="en-US" sz="1400"/>
          </a:p>
        </c:rich>
      </c:tx>
      <c:layout>
        <c:manualLayout>
          <c:xMode val="edge"/>
          <c:yMode val="edge"/>
          <c:x val="0.221965317919075"/>
          <c:y val="0.031277926720286"/>
        </c:manualLayout>
      </c:layout>
      <c:overlay val="0"/>
    </c:title>
    <c:autoTitleDeleted val="0"/>
    <c:plotArea>
      <c:layout>
        <c:manualLayout>
          <c:layoutTarget val="inner"/>
          <c:xMode val="edge"/>
          <c:yMode val="edge"/>
          <c:x val="0.202541418233125"/>
          <c:y val="0.207718857528868"/>
          <c:w val="0.36133198306859"/>
          <c:h val="0.670353169660763"/>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manualLayout>
                  <c:x val="-0.162980747348778"/>
                  <c:y val="-0.19144307698803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en-US" altLang="zh-CN" sz="900"/>
                      <a:t>1960.</a:t>
                    </a:r>
                    <a:r>
                      <a:rPr lang="en-US" altLang="en-US" sz="900"/>
                      <a:t>12</a:t>
                    </a:r>
                    <a:r>
                      <a:rPr lang="zh-CN" altLang="en-US" sz="900"/>
                      <a:t>，占比</a:t>
                    </a:r>
                    <a:r>
                      <a:rPr lang="en-US" altLang="en-US" sz="900"/>
                      <a:t>85%</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35755086250057"/>
                  <c:y val="0.093423191404023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en-US" altLang="zh-CN" sz="900"/>
                      <a:t>188.03</a:t>
                    </a:r>
                    <a:r>
                      <a:rPr lang="zh-CN" altLang="en-US" sz="900"/>
                      <a:t>，占比</a:t>
                    </a:r>
                    <a:r>
                      <a:rPr lang="en-US" altLang="en-US" sz="900"/>
                      <a:t>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33743722786097"/>
                  <c:y val="0.025711581628703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en-US" altLang="zh-CN" sz="900"/>
                      <a:t>47.28</a:t>
                    </a:r>
                    <a:r>
                      <a:rPr lang="zh-CN" altLang="en-US" sz="900"/>
                      <a:t>，占比</a:t>
                    </a:r>
                    <a:r>
                      <a:rPr lang="en-US" altLang="en-US" sz="900"/>
                      <a:t>2%</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en-US" altLang="zh-CN" sz="900"/>
                      <a:t>148.51</a:t>
                    </a:r>
                    <a:r>
                      <a:rPr lang="zh-CN" altLang="en-US" sz="900"/>
                      <a:t>，占比</a:t>
                    </a:r>
                    <a:r>
                      <a:rPr lang="en-US" altLang="en-US" sz="900"/>
                      <a:t>5%</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一般公共服务类</c:v>
                </c:pt>
                <c:pt idx="1">
                  <c:v>社会保障就业类</c:v>
                </c:pt>
                <c:pt idx="2">
                  <c:v>卫生健康支出</c:v>
                </c:pt>
                <c:pt idx="3">
                  <c:v>住房保障支出</c:v>
                </c:pt>
              </c:strCache>
            </c:strRef>
          </c:cat>
          <c:val>
            <c:numRef>
              <c:f>Sheet1!$B$2:$B$5</c:f>
              <c:numCache>
                <c:formatCode>General</c:formatCode>
                <c:ptCount val="4"/>
                <c:pt idx="0">
                  <c:v>83.63</c:v>
                </c:pt>
                <c:pt idx="1">
                  <c:v>8.02</c:v>
                </c:pt>
                <c:pt idx="2">
                  <c:v>2</c:v>
                </c:pt>
                <c:pt idx="3">
                  <c:v>5.33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zh-CN" sz="1400" b="1" i="0" u="none" strike="noStrike" baseline="0">
                <a:effectLst/>
              </a:rPr>
              <a:t>“三公”经费财政拨款支出结构</a:t>
            </a:r>
            <a:endParaRPr lang="zh-CN" altLang="en-US" sz="1400"/>
          </a:p>
        </c:rich>
      </c:tx>
      <c:layout>
        <c:manualLayout>
          <c:xMode val="edge"/>
          <c:yMode val="edge"/>
          <c:x val="0.241377649325626"/>
          <c:y val="0.0330620901489481"/>
        </c:manualLayout>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公务用车购置及运行维护费</a:t>
                    </a:r>
                    <a:r>
                      <a:rPr lang="en-US" altLang="zh-CN"/>
                      <a:t>84.83</a:t>
                    </a:r>
                    <a:r>
                      <a:rPr lang="zh-CN" altLang="en-US"/>
                      <a:t>万元，占比</a:t>
                    </a:r>
                    <a:r>
                      <a:rPr lang="en-US" altLang="zh-CN"/>
                      <a:t>91%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公务接待费</a:t>
                    </a:r>
                    <a:r>
                      <a:rPr lang="en-US" altLang="zh-CN"/>
                      <a:t>7.88</a:t>
                    </a:r>
                    <a:r>
                      <a:rPr lang="zh-CN" altLang="en-US"/>
                      <a:t>万元，占比</a:t>
                    </a:r>
                    <a:r>
                      <a:rPr lang="en-US" altLang="zh-CN"/>
                      <a:t>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91.5</c:v>
                </c:pt>
                <c:pt idx="1">
                  <c:v>8.5</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12675</Words>
  <Characters>13503</Characters>
  <Lines>88</Lines>
  <Paragraphs>24</Paragraphs>
  <TotalTime>14</TotalTime>
  <ScaleCrop>false</ScaleCrop>
  <LinksUpToDate>false</LinksUpToDate>
  <CharactersWithSpaces>13929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2022-08-15T10:18:00Z</dcterms:created>
  <dc:creator>曹颖</dc:creator>
  <cp:lastModifiedBy>kylin</cp:lastModifiedBy>
  <cp:lastPrinted>2023-04-09T10:29:00Z</cp:lastPrinted>
  <dcterms:modified xsi:type="dcterms:W3CDTF">2024-12-23T11:22:06Z</dcterms:modified>
  <dc:title>四川省***</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758BBFDA962F4A5BA67F115454CED5FF_13</vt:lpwstr>
  </property>
</Properties>
</file>