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E5" w:rsidRPr="00D55CE5" w:rsidRDefault="00D55CE5" w:rsidP="00D55CE5">
      <w:pPr>
        <w:jc w:val="center"/>
        <w:rPr>
          <w:rFonts w:ascii="黑体" w:eastAsia="黑体" w:hAnsi="黑体"/>
          <w:b/>
          <w:sz w:val="36"/>
          <w:szCs w:val="36"/>
        </w:rPr>
      </w:pPr>
      <w:r w:rsidRPr="00D55CE5">
        <w:rPr>
          <w:rFonts w:ascii="黑体" w:eastAsia="黑体" w:hAnsi="黑体" w:hint="eastAsia"/>
          <w:b/>
          <w:sz w:val="36"/>
          <w:szCs w:val="36"/>
        </w:rPr>
        <w:t>邻水县二0</w:t>
      </w:r>
      <w:r w:rsidR="00625109">
        <w:rPr>
          <w:rFonts w:ascii="黑体" w:eastAsia="黑体" w:hAnsi="黑体" w:hint="eastAsia"/>
          <w:b/>
          <w:sz w:val="36"/>
          <w:szCs w:val="36"/>
        </w:rPr>
        <w:t>二三</w:t>
      </w:r>
      <w:r w:rsidRPr="00D55CE5">
        <w:rPr>
          <w:rFonts w:ascii="黑体" w:eastAsia="黑体" w:hAnsi="黑体" w:hint="eastAsia"/>
          <w:b/>
          <w:sz w:val="36"/>
          <w:szCs w:val="36"/>
        </w:rPr>
        <w:t>年</w:t>
      </w:r>
    </w:p>
    <w:p w:rsidR="00612009" w:rsidRDefault="00D55CE5" w:rsidP="00D55CE5">
      <w:pPr>
        <w:jc w:val="center"/>
        <w:rPr>
          <w:rFonts w:ascii="黑体" w:eastAsia="黑体" w:hAnsi="黑体"/>
          <w:b/>
          <w:sz w:val="36"/>
          <w:szCs w:val="36"/>
        </w:rPr>
      </w:pPr>
      <w:r w:rsidRPr="00D55CE5">
        <w:rPr>
          <w:rFonts w:ascii="黑体" w:eastAsia="黑体" w:hAnsi="黑体" w:hint="eastAsia"/>
          <w:b/>
          <w:sz w:val="36"/>
          <w:szCs w:val="36"/>
        </w:rPr>
        <w:t>重大政策和重点项目等绩效目标及绩效执行结果</w:t>
      </w: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Pr="00D55CE5" w:rsidRDefault="00422D0A" w:rsidP="00D55CE5">
      <w:pPr>
        <w:spacing w:beforeLines="100" w:before="312" w:afterLines="100" w:after="312"/>
        <w:jc w:val="center"/>
        <w:outlineLvl w:val="0"/>
        <w:rPr>
          <w:rFonts w:ascii="仿宋" w:eastAsia="仿宋" w:hAnsi="仿宋" w:cs="仿宋"/>
          <w:b/>
          <w:sz w:val="36"/>
          <w:szCs w:val="32"/>
        </w:rPr>
      </w:pPr>
      <w:r w:rsidRPr="00422D0A">
        <w:rPr>
          <w:rFonts w:ascii="仿宋" w:eastAsia="仿宋" w:hAnsi="仿宋" w:cs="仿宋" w:hint="eastAsia"/>
          <w:b/>
          <w:sz w:val="36"/>
          <w:szCs w:val="32"/>
        </w:rPr>
        <w:lastRenderedPageBreak/>
        <w:t>医疗保障局城乡居民转移支付政策</w:t>
      </w:r>
    </w:p>
    <w:p w:rsidR="00422D0A" w:rsidRPr="00422D0A" w:rsidRDefault="00422D0A" w:rsidP="00422D0A">
      <w:pPr>
        <w:pStyle w:val="1"/>
        <w:rPr>
          <w:rFonts w:ascii="仿宋" w:eastAsia="仿宋" w:hAnsi="仿宋"/>
          <w:sz w:val="28"/>
          <w:lang w:eastAsia="zh-CN"/>
        </w:rPr>
      </w:pPr>
      <w:bookmarkStart w:id="0" w:name="_Toc118666482"/>
      <w:bookmarkStart w:id="1" w:name="_Toc27238"/>
      <w:bookmarkStart w:id="2" w:name="_Toc156563502"/>
      <w:r w:rsidRPr="00422D0A">
        <w:rPr>
          <w:rFonts w:ascii="仿宋" w:eastAsia="仿宋" w:hAnsi="仿宋"/>
          <w:sz w:val="28"/>
          <w:lang w:eastAsia="zh-CN"/>
        </w:rPr>
        <w:t>一、</w:t>
      </w:r>
      <w:bookmarkEnd w:id="0"/>
      <w:bookmarkEnd w:id="1"/>
      <w:r w:rsidRPr="00422D0A">
        <w:rPr>
          <w:rFonts w:ascii="仿宋" w:eastAsia="仿宋" w:hAnsi="仿宋" w:hint="eastAsia"/>
          <w:sz w:val="28"/>
          <w:lang w:eastAsia="zh-CN"/>
        </w:rPr>
        <w:t>财政政策基本情况</w:t>
      </w:r>
      <w:bookmarkEnd w:id="2"/>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bookmarkStart w:id="3" w:name="_Toc20534"/>
      <w:bookmarkStart w:id="4" w:name="_Toc118666483"/>
      <w:r w:rsidRPr="00422D0A">
        <w:rPr>
          <w:rFonts w:ascii="仿宋" w:eastAsia="仿宋" w:hAnsi="仿宋" w:cs="仿宋" w:hint="eastAsia"/>
          <w:sz w:val="28"/>
          <w:szCs w:val="28"/>
        </w:rPr>
        <w:t>2022 年中省共下达我县城乡居民补助资金 41</w:t>
      </w:r>
      <w:r w:rsidRPr="00422D0A">
        <w:rPr>
          <w:rFonts w:ascii="仿宋" w:eastAsia="仿宋" w:hAnsi="仿宋" w:cs="仿宋"/>
          <w:sz w:val="28"/>
          <w:szCs w:val="28"/>
        </w:rPr>
        <w:t>,</w:t>
      </w:r>
      <w:r w:rsidRPr="00422D0A">
        <w:rPr>
          <w:rFonts w:ascii="仿宋" w:eastAsia="仿宋" w:hAnsi="仿宋" w:cs="仿宋" w:hint="eastAsia"/>
          <w:sz w:val="28"/>
          <w:szCs w:val="28"/>
        </w:rPr>
        <w:t>693.41万元。其中: 城乡居民补助资金第一批中央财政下达32</w:t>
      </w:r>
      <w:r w:rsidRPr="00422D0A">
        <w:rPr>
          <w:rFonts w:ascii="仿宋" w:eastAsia="仿宋" w:hAnsi="仿宋" w:cs="仿宋"/>
          <w:sz w:val="28"/>
          <w:szCs w:val="28"/>
        </w:rPr>
        <w:t>,</w:t>
      </w:r>
      <w:r w:rsidRPr="00422D0A">
        <w:rPr>
          <w:rFonts w:ascii="仿宋" w:eastAsia="仿宋" w:hAnsi="仿宋" w:cs="仿宋" w:hint="eastAsia"/>
          <w:sz w:val="28"/>
          <w:szCs w:val="28"/>
        </w:rPr>
        <w:t>515.63 万元、省级财政下达 4</w:t>
      </w:r>
      <w:r w:rsidRPr="00422D0A">
        <w:rPr>
          <w:rFonts w:ascii="仿宋" w:eastAsia="仿宋" w:hAnsi="仿宋" w:cs="仿宋"/>
          <w:sz w:val="28"/>
          <w:szCs w:val="28"/>
        </w:rPr>
        <w:t>,</w:t>
      </w:r>
      <w:r w:rsidRPr="00422D0A">
        <w:rPr>
          <w:rFonts w:ascii="仿宋" w:eastAsia="仿宋" w:hAnsi="仿宋" w:cs="仿宋" w:hint="eastAsia"/>
          <w:sz w:val="28"/>
          <w:szCs w:val="28"/>
        </w:rPr>
        <w:t>734.16 万元《四川省财政厅 四川省医疗保障局关于提前下达 2022 年城乡居民基本医疗保险中央和省级财政补助资金的通知》(川财社(2021)150 号);城乡居民补助资金第二批中央财政下达 4</w:t>
      </w:r>
      <w:r w:rsidRPr="00422D0A">
        <w:rPr>
          <w:rFonts w:ascii="仿宋" w:eastAsia="仿宋" w:hAnsi="仿宋" w:cs="仿宋"/>
          <w:sz w:val="28"/>
          <w:szCs w:val="28"/>
        </w:rPr>
        <w:t>,</w:t>
      </w:r>
      <w:r w:rsidRPr="00422D0A">
        <w:rPr>
          <w:rFonts w:ascii="仿宋" w:eastAsia="仿宋" w:hAnsi="仿宋" w:cs="仿宋" w:hint="eastAsia"/>
          <w:sz w:val="28"/>
          <w:szCs w:val="28"/>
        </w:rPr>
        <w:t>852.19万元《广安市财政局 广安市医疗保障局关于下达 2022 年中央财政城乡居民基本医疗保险补助资金 (第二批) 的通知》(广市财社 (2022) 826 号) ;城乡居民补助资金第三批中央财政下达856.68 万元《四川省财政厅 四川省医疗保障局关于下达 2022 年中央财政城乡居民基本医疗保险补助资金(第三批)的通知》 (川财社 (2022) 108 号)城乡居民补助资金第二批省级财政下达 448.11 万元《四省财政厅 四川省医疗保障局关于下达 2022 年城乡居民医保省级财政(第二批)补助资金的通知》(川财社 (2022)165 号)。</w:t>
      </w:r>
    </w:p>
    <w:p w:rsidR="00422D0A" w:rsidRPr="00422D0A" w:rsidRDefault="00422D0A" w:rsidP="00422D0A">
      <w:pPr>
        <w:pStyle w:val="1"/>
        <w:rPr>
          <w:rFonts w:ascii="仿宋" w:eastAsia="仿宋" w:hAnsi="仿宋"/>
          <w:sz w:val="28"/>
          <w:lang w:eastAsia="zh-CN"/>
        </w:rPr>
      </w:pPr>
      <w:bookmarkStart w:id="5" w:name="_Toc156563503"/>
      <w:r w:rsidRPr="00422D0A">
        <w:rPr>
          <w:rFonts w:ascii="仿宋" w:eastAsia="仿宋" w:hAnsi="仿宋" w:hint="eastAsia"/>
          <w:sz w:val="28"/>
          <w:lang w:eastAsia="zh-CN"/>
        </w:rPr>
        <w:t>二、</w:t>
      </w:r>
      <w:bookmarkEnd w:id="3"/>
      <w:bookmarkEnd w:id="4"/>
      <w:r w:rsidRPr="00422D0A">
        <w:rPr>
          <w:rFonts w:ascii="仿宋" w:eastAsia="仿宋" w:hAnsi="仿宋" w:hint="eastAsia"/>
          <w:sz w:val="28"/>
          <w:lang w:eastAsia="zh-CN"/>
        </w:rPr>
        <w:t>评价工作开展情况</w:t>
      </w:r>
      <w:bookmarkEnd w:id="5"/>
    </w:p>
    <w:p w:rsidR="00422D0A" w:rsidRPr="00422D0A" w:rsidRDefault="00422D0A" w:rsidP="00422D0A">
      <w:pPr>
        <w:pStyle w:val="2"/>
        <w:rPr>
          <w:rFonts w:ascii="仿宋" w:eastAsia="仿宋" w:hAnsi="仿宋"/>
          <w:sz w:val="28"/>
          <w:szCs w:val="28"/>
          <w:lang w:eastAsia="zh-CN"/>
        </w:rPr>
      </w:pPr>
      <w:bookmarkStart w:id="6" w:name="_Toc156563504"/>
      <w:r w:rsidRPr="00422D0A">
        <w:rPr>
          <w:rFonts w:ascii="仿宋" w:eastAsia="仿宋" w:hAnsi="仿宋" w:hint="eastAsia"/>
          <w:sz w:val="28"/>
          <w:szCs w:val="28"/>
          <w:lang w:eastAsia="zh-CN"/>
        </w:rPr>
        <w:t>（一）评价方法</w:t>
      </w:r>
      <w:bookmarkEnd w:id="6"/>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bookmarkStart w:id="7" w:name="_Toc118666485"/>
      <w:r w:rsidRPr="00422D0A">
        <w:rPr>
          <w:rFonts w:ascii="仿宋" w:eastAsia="仿宋" w:hAnsi="仿宋" w:cs="仿宋" w:hint="eastAsia"/>
          <w:sz w:val="28"/>
          <w:szCs w:val="28"/>
        </w:rPr>
        <w:t>评价组主要采用案卷研究法、比较法、因素分析法等多种方法收集资金相关材料和实施现场评价。</w:t>
      </w:r>
    </w:p>
    <w:p w:rsidR="00422D0A" w:rsidRPr="00422D0A" w:rsidRDefault="00422D0A" w:rsidP="00422D0A">
      <w:pPr>
        <w:pStyle w:val="2"/>
        <w:rPr>
          <w:rFonts w:ascii="仿宋" w:eastAsia="仿宋" w:hAnsi="仿宋"/>
          <w:sz w:val="28"/>
          <w:szCs w:val="28"/>
          <w:lang w:eastAsia="zh-CN"/>
        </w:rPr>
      </w:pPr>
      <w:bookmarkStart w:id="8" w:name="_Toc156563505"/>
      <w:bookmarkEnd w:id="7"/>
      <w:r w:rsidRPr="00422D0A">
        <w:rPr>
          <w:rFonts w:ascii="仿宋" w:eastAsia="仿宋" w:hAnsi="仿宋" w:hint="eastAsia"/>
          <w:sz w:val="28"/>
          <w:szCs w:val="28"/>
          <w:lang w:eastAsia="zh-CN"/>
        </w:rPr>
        <w:t>（二）政策总体评价</w:t>
      </w:r>
      <w:bookmarkEnd w:id="8"/>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总体上看，</w:t>
      </w:r>
      <w:bookmarkStart w:id="9" w:name="_Hlk156562271"/>
      <w:r w:rsidR="002427EA">
        <w:rPr>
          <w:rFonts w:ascii="仿宋" w:eastAsia="仿宋" w:hAnsi="仿宋" w:cs="仿宋" w:hint="eastAsia"/>
          <w:sz w:val="28"/>
          <w:szCs w:val="28"/>
        </w:rPr>
        <w:t>2022</w:t>
      </w:r>
      <w:bookmarkStart w:id="10" w:name="_GoBack"/>
      <w:bookmarkEnd w:id="10"/>
      <w:r w:rsidRPr="00422D0A">
        <w:rPr>
          <w:rFonts w:ascii="仿宋" w:eastAsia="仿宋" w:hAnsi="仿宋" w:cs="仿宋" w:hint="eastAsia"/>
          <w:sz w:val="28"/>
          <w:szCs w:val="28"/>
        </w:rPr>
        <w:t>年度城乡居民医疗保险</w:t>
      </w:r>
      <w:bookmarkEnd w:id="9"/>
      <w:r w:rsidRPr="00422D0A">
        <w:rPr>
          <w:rFonts w:ascii="仿宋" w:eastAsia="仿宋" w:hAnsi="仿宋" w:cs="仿宋" w:hint="eastAsia"/>
          <w:sz w:val="28"/>
          <w:szCs w:val="28"/>
        </w:rPr>
        <w:t>按照应保尽保原则，大大提高了基本医保综合参保率，通过提高参保群众医疗服务待遇，稳步提升了医疗服务水平，减轻了参保群众医疗费用负担，增强了群众</w:t>
      </w:r>
      <w:r w:rsidRPr="00422D0A">
        <w:rPr>
          <w:rFonts w:ascii="仿宋" w:eastAsia="仿宋" w:hAnsi="仿宋" w:cs="仿宋" w:hint="eastAsia"/>
          <w:sz w:val="28"/>
          <w:szCs w:val="28"/>
        </w:rPr>
        <w:lastRenderedPageBreak/>
        <w:t>幸福感、获得感，基本实现了预定绩效目标，严格执行了资金管理制度，资金的使用较规范，公众满意度较高，总体运行效果较好。项目总体得分</w:t>
      </w:r>
      <w:r w:rsidRPr="00422D0A">
        <w:rPr>
          <w:rFonts w:ascii="仿宋" w:eastAsia="仿宋" w:hAnsi="仿宋" w:cs="仿宋"/>
          <w:sz w:val="28"/>
          <w:szCs w:val="28"/>
        </w:rPr>
        <w:t>98</w:t>
      </w:r>
      <w:r w:rsidRPr="00422D0A">
        <w:rPr>
          <w:rFonts w:ascii="仿宋" w:eastAsia="仿宋" w:hAnsi="仿宋" w:cs="仿宋" w:hint="eastAsia"/>
          <w:sz w:val="28"/>
          <w:szCs w:val="28"/>
        </w:rPr>
        <w:t>分。</w:t>
      </w:r>
    </w:p>
    <w:p w:rsidR="00422D0A" w:rsidRPr="00422D0A" w:rsidRDefault="00422D0A" w:rsidP="00422D0A">
      <w:pPr>
        <w:pStyle w:val="1"/>
        <w:rPr>
          <w:rFonts w:ascii="仿宋" w:eastAsia="仿宋" w:hAnsi="仿宋"/>
          <w:sz w:val="28"/>
          <w:lang w:eastAsia="zh-CN"/>
        </w:rPr>
      </w:pPr>
      <w:bookmarkStart w:id="11" w:name="_Toc118666488"/>
      <w:bookmarkStart w:id="12" w:name="_Toc156563506"/>
      <w:r w:rsidRPr="00422D0A">
        <w:rPr>
          <w:rFonts w:ascii="仿宋" w:eastAsia="仿宋" w:hAnsi="仿宋" w:hint="eastAsia"/>
          <w:sz w:val="28"/>
          <w:lang w:eastAsia="zh-CN"/>
        </w:rPr>
        <w:t>三、</w:t>
      </w:r>
      <w:bookmarkEnd w:id="11"/>
      <w:r w:rsidRPr="00422D0A">
        <w:rPr>
          <w:rFonts w:ascii="仿宋" w:eastAsia="仿宋" w:hAnsi="仿宋" w:hint="eastAsia"/>
          <w:sz w:val="28"/>
          <w:lang w:eastAsia="zh-CN"/>
        </w:rPr>
        <w:t>政策绩效情况</w:t>
      </w:r>
      <w:bookmarkEnd w:id="12"/>
    </w:p>
    <w:p w:rsidR="00422D0A" w:rsidRPr="00422D0A" w:rsidRDefault="00422D0A" w:rsidP="00422D0A">
      <w:pPr>
        <w:pStyle w:val="2"/>
        <w:rPr>
          <w:rFonts w:ascii="仿宋" w:eastAsia="仿宋" w:hAnsi="仿宋"/>
          <w:sz w:val="28"/>
          <w:szCs w:val="28"/>
          <w:lang w:eastAsia="zh-CN"/>
        </w:rPr>
      </w:pPr>
      <w:bookmarkStart w:id="13" w:name="_Toc156563507"/>
      <w:r w:rsidRPr="00422D0A">
        <w:rPr>
          <w:rFonts w:ascii="仿宋" w:eastAsia="仿宋" w:hAnsi="仿宋" w:hint="eastAsia"/>
          <w:sz w:val="28"/>
          <w:szCs w:val="28"/>
          <w:lang w:eastAsia="zh-CN"/>
        </w:rPr>
        <w:t>（一）政策执行</w:t>
      </w:r>
      <w:bookmarkEnd w:id="13"/>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bookmarkStart w:id="14" w:name="_Toc118666492"/>
      <w:bookmarkStart w:id="15" w:name="_Toc19477"/>
      <w:r w:rsidRPr="00422D0A">
        <w:rPr>
          <w:rFonts w:ascii="仿宋" w:eastAsia="仿宋" w:hAnsi="仿宋" w:cs="仿宋" w:hint="eastAsia"/>
          <w:sz w:val="28"/>
          <w:szCs w:val="28"/>
        </w:rPr>
        <w:t>2022 年度城乡居民医疗保险转移支付项目严格执行了国家政策方针，日常管理符合《广安市城乡居民基本医疗保险实施办法》《邻水县医疗保障局协议医疗机构监管制度》相关管理要求，达到了预期的社会效益，有力的保障了参保群众医保待遇，增进民生福祉。</w:t>
      </w:r>
    </w:p>
    <w:p w:rsidR="00422D0A" w:rsidRPr="00422D0A" w:rsidRDefault="00422D0A" w:rsidP="00422D0A">
      <w:pPr>
        <w:pStyle w:val="2"/>
        <w:rPr>
          <w:rFonts w:ascii="仿宋" w:eastAsia="仿宋" w:hAnsi="仿宋"/>
          <w:sz w:val="28"/>
          <w:szCs w:val="28"/>
          <w:lang w:eastAsia="zh-CN"/>
        </w:rPr>
      </w:pPr>
      <w:bookmarkStart w:id="16" w:name="_Toc156563508"/>
      <w:r w:rsidRPr="00422D0A">
        <w:rPr>
          <w:rFonts w:ascii="仿宋" w:eastAsia="仿宋" w:hAnsi="仿宋" w:hint="eastAsia"/>
          <w:sz w:val="28"/>
          <w:szCs w:val="28"/>
          <w:lang w:eastAsia="zh-CN"/>
        </w:rPr>
        <w:t>（二）</w:t>
      </w:r>
      <w:bookmarkEnd w:id="14"/>
      <w:bookmarkEnd w:id="15"/>
      <w:r w:rsidRPr="00422D0A">
        <w:rPr>
          <w:rFonts w:ascii="仿宋" w:eastAsia="仿宋" w:hAnsi="仿宋" w:hint="eastAsia"/>
          <w:sz w:val="28"/>
          <w:szCs w:val="28"/>
          <w:lang w:eastAsia="zh-CN"/>
        </w:rPr>
        <w:t>政策效果</w:t>
      </w:r>
      <w:bookmarkEnd w:id="16"/>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2022 年共计参保 762</w:t>
      </w:r>
      <w:r w:rsidRPr="00422D0A">
        <w:rPr>
          <w:rFonts w:ascii="仿宋" w:eastAsia="仿宋" w:hAnsi="仿宋" w:cs="仿宋"/>
          <w:sz w:val="28"/>
          <w:szCs w:val="28"/>
        </w:rPr>
        <w:t>,</w:t>
      </w:r>
      <w:r w:rsidRPr="00422D0A">
        <w:rPr>
          <w:rFonts w:ascii="仿宋" w:eastAsia="仿宋" w:hAnsi="仿宋" w:cs="仿宋" w:hint="eastAsia"/>
          <w:sz w:val="28"/>
          <w:szCs w:val="28"/>
        </w:rPr>
        <w:t>218 人，参保率达到 98%以上，其中:住院实际报销 148</w:t>
      </w:r>
      <w:r w:rsidRPr="00422D0A">
        <w:rPr>
          <w:rFonts w:ascii="仿宋" w:eastAsia="仿宋" w:hAnsi="仿宋" w:cs="仿宋"/>
          <w:sz w:val="28"/>
          <w:szCs w:val="28"/>
        </w:rPr>
        <w:t>,</w:t>
      </w:r>
      <w:r w:rsidRPr="00422D0A">
        <w:rPr>
          <w:rFonts w:ascii="仿宋" w:eastAsia="仿宋" w:hAnsi="仿宋" w:cs="仿宋" w:hint="eastAsia"/>
          <w:sz w:val="28"/>
          <w:szCs w:val="28"/>
        </w:rPr>
        <w:t>603 人次，基本医保、大病保险报销金额 51</w:t>
      </w:r>
      <w:r w:rsidRPr="00422D0A">
        <w:rPr>
          <w:rFonts w:ascii="仿宋" w:eastAsia="仿宋" w:hAnsi="仿宋" w:cs="仿宋"/>
          <w:sz w:val="28"/>
          <w:szCs w:val="28"/>
        </w:rPr>
        <w:t>,</w:t>
      </w:r>
      <w:r w:rsidRPr="00422D0A">
        <w:rPr>
          <w:rFonts w:ascii="仿宋" w:eastAsia="仿宋" w:hAnsi="仿宋" w:cs="仿宋" w:hint="eastAsia"/>
          <w:sz w:val="28"/>
          <w:szCs w:val="28"/>
        </w:rPr>
        <w:t>064.99 万元，报销比例 68.08%。门诊实际报销622</w:t>
      </w:r>
      <w:r w:rsidRPr="00422D0A">
        <w:rPr>
          <w:rFonts w:ascii="仿宋" w:eastAsia="仿宋" w:hAnsi="仿宋" w:cs="仿宋"/>
          <w:sz w:val="28"/>
          <w:szCs w:val="28"/>
        </w:rPr>
        <w:t>,</w:t>
      </w:r>
      <w:r w:rsidRPr="00422D0A">
        <w:rPr>
          <w:rFonts w:ascii="仿宋" w:eastAsia="仿宋" w:hAnsi="仿宋" w:cs="仿宋" w:hint="eastAsia"/>
          <w:sz w:val="28"/>
          <w:szCs w:val="28"/>
        </w:rPr>
        <w:t>934 人次，报销金额 7</w:t>
      </w:r>
      <w:r w:rsidRPr="00422D0A">
        <w:rPr>
          <w:rFonts w:ascii="仿宋" w:eastAsia="仿宋" w:hAnsi="仿宋" w:cs="仿宋"/>
          <w:sz w:val="28"/>
          <w:szCs w:val="28"/>
        </w:rPr>
        <w:t>,</w:t>
      </w:r>
      <w:r w:rsidRPr="00422D0A">
        <w:rPr>
          <w:rFonts w:ascii="仿宋" w:eastAsia="仿宋" w:hAnsi="仿宋" w:cs="仿宋" w:hint="eastAsia"/>
          <w:sz w:val="28"/>
          <w:szCs w:val="28"/>
        </w:rPr>
        <w:t>815.46 万元，报销比例 58.82%，具体情况如下：</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1</w:t>
      </w:r>
      <w:r w:rsidRPr="00422D0A">
        <w:rPr>
          <w:rFonts w:ascii="仿宋" w:eastAsia="仿宋" w:hAnsi="仿宋" w:cs="仿宋"/>
          <w:sz w:val="28"/>
          <w:szCs w:val="28"/>
        </w:rPr>
        <w:t xml:space="preserve">. </w:t>
      </w:r>
      <w:r w:rsidRPr="00422D0A">
        <w:rPr>
          <w:rFonts w:ascii="仿宋" w:eastAsia="仿宋" w:hAnsi="仿宋" w:cs="仿宋" w:hint="eastAsia"/>
          <w:sz w:val="28"/>
          <w:szCs w:val="28"/>
        </w:rPr>
        <w:t>数量指标完成情况</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2022 年共计参保 762</w:t>
      </w:r>
      <w:r w:rsidRPr="00422D0A">
        <w:rPr>
          <w:rFonts w:ascii="仿宋" w:eastAsia="仿宋" w:hAnsi="仿宋" w:cs="仿宋"/>
          <w:sz w:val="28"/>
          <w:szCs w:val="28"/>
        </w:rPr>
        <w:t>,</w:t>
      </w:r>
      <w:r w:rsidRPr="00422D0A">
        <w:rPr>
          <w:rFonts w:ascii="仿宋" w:eastAsia="仿宋" w:hAnsi="仿宋" w:cs="仿宋" w:hint="eastAsia"/>
          <w:sz w:val="28"/>
          <w:szCs w:val="28"/>
        </w:rPr>
        <w:t>218 人,中省县补助 610 元/人,其中:中央 488 元/人;省级 69.3 元/人,县级财政补助 52.7元/人。</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2</w:t>
      </w:r>
      <w:r w:rsidRPr="00422D0A">
        <w:rPr>
          <w:rFonts w:ascii="仿宋" w:eastAsia="仿宋" w:hAnsi="仿宋" w:cs="仿宋"/>
          <w:sz w:val="28"/>
          <w:szCs w:val="28"/>
        </w:rPr>
        <w:t xml:space="preserve">. </w:t>
      </w:r>
      <w:r w:rsidRPr="00422D0A">
        <w:rPr>
          <w:rFonts w:ascii="仿宋" w:eastAsia="仿宋" w:hAnsi="仿宋" w:cs="仿宋" w:hint="eastAsia"/>
          <w:sz w:val="28"/>
          <w:szCs w:val="28"/>
        </w:rPr>
        <w:t>质量指标完成情况</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城乡居民住院实际报销 148</w:t>
      </w:r>
      <w:r w:rsidRPr="00422D0A">
        <w:rPr>
          <w:rFonts w:ascii="仿宋" w:eastAsia="仿宋" w:hAnsi="仿宋" w:cs="仿宋"/>
          <w:sz w:val="28"/>
          <w:szCs w:val="28"/>
        </w:rPr>
        <w:t>,</w:t>
      </w:r>
      <w:r w:rsidRPr="00422D0A">
        <w:rPr>
          <w:rFonts w:ascii="仿宋" w:eastAsia="仿宋" w:hAnsi="仿宋" w:cs="仿宋" w:hint="eastAsia"/>
          <w:sz w:val="28"/>
          <w:szCs w:val="28"/>
        </w:rPr>
        <w:t>603 人次，总费用94</w:t>
      </w:r>
      <w:r w:rsidRPr="00422D0A">
        <w:rPr>
          <w:rFonts w:ascii="仿宋" w:eastAsia="仿宋" w:hAnsi="仿宋" w:cs="仿宋"/>
          <w:sz w:val="28"/>
          <w:szCs w:val="28"/>
        </w:rPr>
        <w:t>,</w:t>
      </w:r>
      <w:r w:rsidRPr="00422D0A">
        <w:rPr>
          <w:rFonts w:ascii="仿宋" w:eastAsia="仿宋" w:hAnsi="仿宋" w:cs="仿宋" w:hint="eastAsia"/>
          <w:sz w:val="28"/>
          <w:szCs w:val="28"/>
        </w:rPr>
        <w:t>931.83 万元，政策范围内费用基本 75</w:t>
      </w:r>
      <w:r w:rsidRPr="00422D0A">
        <w:rPr>
          <w:rFonts w:ascii="仿宋" w:eastAsia="仿宋" w:hAnsi="仿宋" w:cs="仿宋"/>
          <w:sz w:val="28"/>
          <w:szCs w:val="28"/>
        </w:rPr>
        <w:t>,</w:t>
      </w:r>
      <w:r w:rsidRPr="00422D0A">
        <w:rPr>
          <w:rFonts w:ascii="仿宋" w:eastAsia="仿宋" w:hAnsi="仿宋" w:cs="仿宋" w:hint="eastAsia"/>
          <w:sz w:val="28"/>
          <w:szCs w:val="28"/>
        </w:rPr>
        <w:t>003.74 万元，基本医保、大病保险报销金额 51</w:t>
      </w:r>
      <w:r w:rsidRPr="00422D0A">
        <w:rPr>
          <w:rFonts w:ascii="仿宋" w:eastAsia="仿宋" w:hAnsi="仿宋" w:cs="仿宋"/>
          <w:sz w:val="28"/>
          <w:szCs w:val="28"/>
        </w:rPr>
        <w:t>,</w:t>
      </w:r>
      <w:r w:rsidRPr="00422D0A">
        <w:rPr>
          <w:rFonts w:ascii="仿宋" w:eastAsia="仿宋" w:hAnsi="仿宋" w:cs="仿宋" w:hint="eastAsia"/>
          <w:sz w:val="28"/>
          <w:szCs w:val="28"/>
        </w:rPr>
        <w:t>064.99 万元，报销比例68.08%。门诊实际报销 622</w:t>
      </w:r>
      <w:r w:rsidRPr="00422D0A">
        <w:rPr>
          <w:rFonts w:ascii="仿宋" w:eastAsia="仿宋" w:hAnsi="仿宋" w:cs="仿宋"/>
          <w:sz w:val="28"/>
          <w:szCs w:val="28"/>
        </w:rPr>
        <w:t>,</w:t>
      </w:r>
      <w:r w:rsidRPr="00422D0A">
        <w:rPr>
          <w:rFonts w:ascii="仿宋" w:eastAsia="仿宋" w:hAnsi="仿宋" w:cs="仿宋" w:hint="eastAsia"/>
          <w:sz w:val="28"/>
          <w:szCs w:val="28"/>
        </w:rPr>
        <w:t>934 人次，总费用 15</w:t>
      </w:r>
      <w:r w:rsidRPr="00422D0A">
        <w:rPr>
          <w:rFonts w:ascii="仿宋" w:eastAsia="仿宋" w:hAnsi="仿宋" w:cs="仿宋"/>
          <w:sz w:val="28"/>
          <w:szCs w:val="28"/>
        </w:rPr>
        <w:t>,</w:t>
      </w:r>
      <w:r w:rsidRPr="00422D0A">
        <w:rPr>
          <w:rFonts w:ascii="仿宋" w:eastAsia="仿宋" w:hAnsi="仿宋" w:cs="仿宋" w:hint="eastAsia"/>
          <w:sz w:val="28"/>
          <w:szCs w:val="28"/>
        </w:rPr>
        <w:t>050.69 万元，进入报销范围内费用 13</w:t>
      </w:r>
      <w:r w:rsidRPr="00422D0A">
        <w:rPr>
          <w:rFonts w:ascii="仿宋" w:eastAsia="仿宋" w:hAnsi="仿宋" w:cs="仿宋"/>
          <w:sz w:val="28"/>
          <w:szCs w:val="28"/>
        </w:rPr>
        <w:t>,</w:t>
      </w:r>
      <w:r w:rsidRPr="00422D0A">
        <w:rPr>
          <w:rFonts w:ascii="仿宋" w:eastAsia="仿宋" w:hAnsi="仿宋" w:cs="仿宋" w:hint="eastAsia"/>
          <w:sz w:val="28"/>
          <w:szCs w:val="28"/>
        </w:rPr>
        <w:t>287.63 万元，实际报销金额7815.46 万元，实际报销比例 58.82%。</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lastRenderedPageBreak/>
        <w:t>3</w:t>
      </w:r>
      <w:r w:rsidRPr="00422D0A">
        <w:rPr>
          <w:rFonts w:ascii="仿宋" w:eastAsia="仿宋" w:hAnsi="仿宋" w:cs="仿宋"/>
          <w:sz w:val="28"/>
          <w:szCs w:val="28"/>
        </w:rPr>
        <w:t xml:space="preserve">. </w:t>
      </w:r>
      <w:r w:rsidRPr="00422D0A">
        <w:rPr>
          <w:rFonts w:ascii="仿宋" w:eastAsia="仿宋" w:hAnsi="仿宋" w:cs="仿宋" w:hint="eastAsia"/>
          <w:sz w:val="28"/>
          <w:szCs w:val="28"/>
        </w:rPr>
        <w:t>时效指标完成情况</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县域内 100%实行“一站式”即时结算。</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sz w:val="28"/>
          <w:szCs w:val="28"/>
        </w:rPr>
        <w:t xml:space="preserve">4. </w:t>
      </w:r>
      <w:r w:rsidRPr="00422D0A">
        <w:rPr>
          <w:rFonts w:ascii="仿宋" w:eastAsia="仿宋" w:hAnsi="仿宋" w:cs="仿宋" w:hint="eastAsia"/>
          <w:sz w:val="28"/>
          <w:szCs w:val="28"/>
        </w:rPr>
        <w:t>成本指标完成情况</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2022 年城乡居民参保人数 762</w:t>
      </w:r>
      <w:r w:rsidRPr="00422D0A">
        <w:rPr>
          <w:rFonts w:ascii="仿宋" w:eastAsia="仿宋" w:hAnsi="仿宋" w:cs="仿宋"/>
          <w:sz w:val="28"/>
          <w:szCs w:val="28"/>
        </w:rPr>
        <w:t>,</w:t>
      </w:r>
      <w:r w:rsidRPr="00422D0A">
        <w:rPr>
          <w:rFonts w:ascii="仿宋" w:eastAsia="仿宋" w:hAnsi="仿宋" w:cs="仿宋" w:hint="eastAsia"/>
          <w:sz w:val="28"/>
          <w:szCs w:val="28"/>
        </w:rPr>
        <w:t>218 人,县级补助 52.7元/人，补助资金 4</w:t>
      </w:r>
      <w:r w:rsidRPr="00422D0A">
        <w:rPr>
          <w:rFonts w:ascii="仿宋" w:eastAsia="仿宋" w:hAnsi="仿宋" w:cs="仿宋"/>
          <w:sz w:val="28"/>
          <w:szCs w:val="28"/>
        </w:rPr>
        <w:t>,</w:t>
      </w:r>
      <w:r w:rsidRPr="00422D0A">
        <w:rPr>
          <w:rFonts w:ascii="仿宋" w:eastAsia="仿宋" w:hAnsi="仿宋" w:cs="仿宋" w:hint="eastAsia"/>
          <w:sz w:val="28"/>
          <w:szCs w:val="28"/>
        </w:rPr>
        <w:t>016.88 万元足额到位。</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5.</w:t>
      </w:r>
      <w:r w:rsidRPr="00422D0A">
        <w:rPr>
          <w:rFonts w:ascii="仿宋" w:eastAsia="仿宋" w:hAnsi="仿宋" w:cs="仿宋"/>
          <w:sz w:val="28"/>
          <w:szCs w:val="28"/>
        </w:rPr>
        <w:t xml:space="preserve"> </w:t>
      </w:r>
      <w:r w:rsidRPr="00422D0A">
        <w:rPr>
          <w:rFonts w:ascii="仿宋" w:eastAsia="仿宋" w:hAnsi="仿宋" w:cs="仿宋" w:hint="eastAsia"/>
          <w:sz w:val="28"/>
          <w:szCs w:val="28"/>
        </w:rPr>
        <w:t>社会效益指标完成情况</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县域内实行“一站式”即时结算，并将符合条件的医药机构全部开通国家平台、省级平台，实行省内省外异地就医联网直接结算，有效提高了看病就医便民程度。</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sz w:val="28"/>
          <w:szCs w:val="28"/>
        </w:rPr>
        <w:t xml:space="preserve">6. </w:t>
      </w:r>
      <w:r w:rsidRPr="00422D0A">
        <w:rPr>
          <w:rFonts w:ascii="仿宋" w:eastAsia="仿宋" w:hAnsi="仿宋" w:cs="仿宋" w:hint="eastAsia"/>
          <w:sz w:val="28"/>
          <w:szCs w:val="28"/>
        </w:rPr>
        <w:t>服务对象满意度指标完成情况</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通过多形式宣传，发放宣传册、宣传纸、医药机构 LED滚动屏、乡镇公示栏等提高政策知晓率。</w:t>
      </w:r>
    </w:p>
    <w:p w:rsidR="00422D0A" w:rsidRPr="00422D0A" w:rsidRDefault="00422D0A" w:rsidP="00422D0A">
      <w:pPr>
        <w:pStyle w:val="1"/>
        <w:rPr>
          <w:rFonts w:ascii="仿宋" w:eastAsia="仿宋" w:hAnsi="仿宋"/>
          <w:sz w:val="28"/>
          <w:lang w:eastAsia="zh-CN"/>
        </w:rPr>
      </w:pPr>
      <w:bookmarkStart w:id="17" w:name="_Toc18128"/>
      <w:bookmarkStart w:id="18" w:name="_Toc118666493"/>
      <w:bookmarkStart w:id="19" w:name="_Toc156563509"/>
      <w:r w:rsidRPr="00422D0A">
        <w:rPr>
          <w:rFonts w:ascii="仿宋" w:eastAsia="仿宋" w:hAnsi="仿宋" w:hint="eastAsia"/>
          <w:sz w:val="28"/>
          <w:lang w:eastAsia="zh-CN"/>
        </w:rPr>
        <w:t>四</w:t>
      </w:r>
      <w:r w:rsidRPr="00422D0A">
        <w:rPr>
          <w:rFonts w:ascii="仿宋" w:eastAsia="仿宋" w:hAnsi="仿宋"/>
          <w:sz w:val="28"/>
          <w:lang w:eastAsia="zh-CN"/>
        </w:rPr>
        <w:t>、存在主要问题</w:t>
      </w:r>
      <w:bookmarkEnd w:id="17"/>
      <w:bookmarkEnd w:id="18"/>
      <w:bookmarkEnd w:id="19"/>
    </w:p>
    <w:p w:rsidR="00422D0A" w:rsidRPr="00422D0A" w:rsidRDefault="00422D0A" w:rsidP="00422D0A">
      <w:pPr>
        <w:adjustRightInd w:val="0"/>
        <w:snapToGrid w:val="0"/>
        <w:spacing w:line="578" w:lineRule="exact"/>
        <w:ind w:firstLineChars="200" w:firstLine="562"/>
        <w:rPr>
          <w:rFonts w:ascii="仿宋" w:eastAsia="仿宋" w:hAnsi="仿宋" w:cs="仿宋"/>
          <w:b/>
          <w:bCs/>
          <w:sz w:val="28"/>
          <w:szCs w:val="28"/>
        </w:rPr>
      </w:pPr>
      <w:r w:rsidRPr="00422D0A">
        <w:rPr>
          <w:rFonts w:ascii="仿宋" w:eastAsia="仿宋" w:hAnsi="仿宋" w:cs="仿宋" w:hint="eastAsia"/>
          <w:b/>
          <w:bCs/>
          <w:sz w:val="28"/>
          <w:szCs w:val="28"/>
        </w:rPr>
        <w:t>项目资料归档管理待加强</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医保局未对服务对象满意度指标完成情况相关支撑材料进行归档备查。</w:t>
      </w:r>
    </w:p>
    <w:p w:rsidR="00422D0A" w:rsidRPr="00422D0A" w:rsidRDefault="00422D0A" w:rsidP="00422D0A">
      <w:pPr>
        <w:pStyle w:val="1"/>
        <w:rPr>
          <w:rFonts w:ascii="仿宋" w:eastAsia="仿宋" w:hAnsi="仿宋"/>
          <w:sz w:val="28"/>
          <w:lang w:eastAsia="zh-CN"/>
        </w:rPr>
      </w:pPr>
      <w:bookmarkStart w:id="20" w:name="_Toc156563510"/>
      <w:r w:rsidRPr="00422D0A">
        <w:rPr>
          <w:rFonts w:ascii="仿宋" w:eastAsia="仿宋" w:hAnsi="仿宋" w:hint="eastAsia"/>
          <w:sz w:val="28"/>
          <w:lang w:eastAsia="zh-CN"/>
        </w:rPr>
        <w:t>五、</w:t>
      </w:r>
      <w:r w:rsidRPr="00422D0A">
        <w:rPr>
          <w:rFonts w:ascii="仿宋" w:eastAsia="仿宋" w:hAnsi="仿宋"/>
          <w:sz w:val="28"/>
          <w:lang w:eastAsia="zh-CN"/>
        </w:rPr>
        <w:t>相关措施建议</w:t>
      </w:r>
      <w:bookmarkEnd w:id="20"/>
    </w:p>
    <w:p w:rsidR="00D55CE5" w:rsidRPr="00422D0A" w:rsidRDefault="00422D0A" w:rsidP="00422D0A">
      <w:pPr>
        <w:spacing w:line="600"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建议完善项目管理基础资料归档机制，对重要工作环节做好留痕管理。</w:t>
      </w: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D55CE5">
      <w:pPr>
        <w:jc w:val="center"/>
        <w:rPr>
          <w:rFonts w:ascii="黑体" w:eastAsia="黑体" w:hAnsi="黑体"/>
          <w:b/>
          <w:sz w:val="36"/>
          <w:szCs w:val="36"/>
        </w:rPr>
      </w:pPr>
    </w:p>
    <w:p w:rsidR="00D55CE5" w:rsidRDefault="00D55CE5" w:rsidP="00422D0A">
      <w:pPr>
        <w:rPr>
          <w:rFonts w:ascii="黑体" w:eastAsia="黑体" w:hAnsi="黑体"/>
          <w:b/>
          <w:sz w:val="36"/>
          <w:szCs w:val="36"/>
        </w:rPr>
      </w:pPr>
    </w:p>
    <w:p w:rsidR="00D55CE5" w:rsidRDefault="002427EA" w:rsidP="00D55CE5">
      <w:pPr>
        <w:spacing w:beforeLines="100" w:before="312" w:afterLines="100" w:after="312"/>
        <w:jc w:val="center"/>
        <w:rPr>
          <w:rFonts w:ascii="仿宋" w:eastAsia="仿宋" w:hAnsi="仿宋" w:cs="仿宋"/>
          <w:b/>
          <w:bCs/>
          <w:sz w:val="36"/>
          <w:szCs w:val="44"/>
        </w:rPr>
      </w:pPr>
      <w:r>
        <w:rPr>
          <w:rFonts w:ascii="仿宋" w:eastAsia="仿宋" w:hAnsi="仿宋" w:cs="仿宋" w:hint="eastAsia"/>
          <w:b/>
          <w:bCs/>
          <w:sz w:val="36"/>
          <w:szCs w:val="44"/>
        </w:rPr>
        <w:lastRenderedPageBreak/>
        <w:t>仓顶阳光</w:t>
      </w:r>
      <w:r w:rsidR="00D55CE5" w:rsidRPr="00D55CE5">
        <w:rPr>
          <w:rFonts w:ascii="仿宋" w:eastAsia="仿宋" w:hAnsi="仿宋" w:cs="仿宋" w:hint="eastAsia"/>
          <w:b/>
          <w:bCs/>
          <w:sz w:val="36"/>
          <w:szCs w:val="44"/>
        </w:rPr>
        <w:t>工程项目</w:t>
      </w:r>
    </w:p>
    <w:p w:rsidR="00422D0A" w:rsidRPr="00422D0A" w:rsidRDefault="00422D0A" w:rsidP="00422D0A">
      <w:pPr>
        <w:pStyle w:val="1"/>
        <w:rPr>
          <w:rFonts w:ascii="仿宋" w:eastAsia="仿宋" w:hAnsi="仿宋"/>
          <w:sz w:val="28"/>
          <w:lang w:eastAsia="zh-CN"/>
        </w:rPr>
      </w:pPr>
      <w:bookmarkStart w:id="21" w:name="_Toc124325850"/>
      <w:r w:rsidRPr="00422D0A">
        <w:rPr>
          <w:rFonts w:ascii="仿宋" w:eastAsia="仿宋" w:hAnsi="仿宋"/>
          <w:sz w:val="28"/>
          <w:lang w:eastAsia="zh-CN"/>
        </w:rPr>
        <w:t>一、</w:t>
      </w:r>
      <w:r w:rsidRPr="00422D0A">
        <w:rPr>
          <w:rFonts w:ascii="仿宋" w:eastAsia="仿宋" w:hAnsi="仿宋" w:hint="eastAsia"/>
          <w:sz w:val="28"/>
          <w:lang w:eastAsia="zh-CN"/>
        </w:rPr>
        <w:t>项目基本情况</w:t>
      </w:r>
      <w:bookmarkEnd w:id="21"/>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根据《四川省省级促进粮油产业高质量发展资金管理办法》(川财建〔2019〕225号)《四川省财政厅关于下达 2021 年省级促进粮油产业高质量发展资金项目专项预算的通知》(川财建〔2021〕21号)和《四川省粮食和物资储备局关于下达 2021年粮油产业高质量发展资金项目计划的通知》(川粮函 〔2021〕14号)文件精神，为了提高资金使用效益，发挥国有粮食企业的主渠道作用，拟在石滓粮库 4 栋平房仓、1 栋罩棚仓和 1栋办公楼仓顶实施光伏发电，形成装机容量 418KWp，年发电 42.5 万kWh。在 4 栋低温粮食储备库仓顶，现浇混凝土基础 400 个，在仓顶安装光伏支架和光伏组件、直流电缆、汇流箱、接地系统，在地面安装桥架、逆变器、电能质量监测仪、配电柜、对接入变压器进行改造等。</w:t>
      </w:r>
    </w:p>
    <w:p w:rsidR="00422D0A" w:rsidRPr="00422D0A" w:rsidRDefault="00422D0A" w:rsidP="00422D0A">
      <w:pPr>
        <w:pStyle w:val="1"/>
        <w:rPr>
          <w:rFonts w:ascii="仿宋" w:eastAsia="仿宋" w:hAnsi="仿宋"/>
          <w:sz w:val="28"/>
          <w:lang w:eastAsia="zh-CN"/>
        </w:rPr>
      </w:pPr>
      <w:bookmarkStart w:id="22" w:name="_Toc124325851"/>
      <w:r w:rsidRPr="00422D0A">
        <w:rPr>
          <w:rFonts w:ascii="仿宋" w:eastAsia="仿宋" w:hAnsi="仿宋" w:hint="eastAsia"/>
          <w:sz w:val="28"/>
          <w:lang w:eastAsia="zh-CN"/>
        </w:rPr>
        <w:t>二、评价工作开展情况</w:t>
      </w:r>
      <w:bookmarkEnd w:id="22"/>
    </w:p>
    <w:p w:rsidR="00422D0A" w:rsidRPr="00422D0A" w:rsidRDefault="00422D0A" w:rsidP="00422D0A">
      <w:pPr>
        <w:pStyle w:val="2"/>
        <w:rPr>
          <w:rFonts w:ascii="仿宋" w:eastAsia="仿宋" w:hAnsi="仿宋"/>
          <w:sz w:val="28"/>
          <w:szCs w:val="28"/>
          <w:lang w:eastAsia="zh-CN"/>
        </w:rPr>
      </w:pPr>
      <w:bookmarkStart w:id="23" w:name="_Toc124325852"/>
      <w:bookmarkStart w:id="24" w:name="_Toc118666484"/>
      <w:r w:rsidRPr="00422D0A">
        <w:rPr>
          <w:rFonts w:ascii="仿宋" w:eastAsia="仿宋" w:hAnsi="仿宋" w:hint="eastAsia"/>
          <w:sz w:val="28"/>
          <w:szCs w:val="28"/>
          <w:lang w:eastAsia="zh-CN"/>
        </w:rPr>
        <w:t>（一）</w:t>
      </w:r>
      <w:bookmarkEnd w:id="23"/>
      <w:bookmarkEnd w:id="24"/>
      <w:r w:rsidRPr="00422D0A">
        <w:rPr>
          <w:rFonts w:ascii="仿宋" w:eastAsia="仿宋" w:hAnsi="仿宋" w:hint="eastAsia"/>
          <w:sz w:val="28"/>
          <w:szCs w:val="28"/>
          <w:lang w:eastAsia="zh-CN"/>
        </w:rPr>
        <w:t>评价方法</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评价组主要采用案卷研究法、比较法、因素分析法等多种方法收集专项资金相关材料评价。</w:t>
      </w:r>
    </w:p>
    <w:p w:rsidR="00422D0A" w:rsidRPr="00422D0A" w:rsidRDefault="00422D0A" w:rsidP="00422D0A">
      <w:pPr>
        <w:pStyle w:val="2"/>
        <w:rPr>
          <w:rFonts w:ascii="仿宋" w:eastAsia="仿宋" w:hAnsi="仿宋"/>
          <w:sz w:val="28"/>
          <w:szCs w:val="28"/>
          <w:lang w:eastAsia="zh-CN"/>
        </w:rPr>
      </w:pPr>
      <w:bookmarkStart w:id="25" w:name="_Toc124325853"/>
      <w:r w:rsidRPr="00422D0A">
        <w:rPr>
          <w:rFonts w:ascii="仿宋" w:eastAsia="仿宋" w:hAnsi="仿宋" w:hint="eastAsia"/>
          <w:sz w:val="28"/>
          <w:szCs w:val="28"/>
          <w:lang w:eastAsia="zh-CN"/>
        </w:rPr>
        <w:t>（二）特（个）性指标设置</w:t>
      </w:r>
      <w:bookmarkEnd w:id="25"/>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sz w:val="28"/>
          <w:szCs w:val="28"/>
        </w:rPr>
        <w:t>评价组在设置特（个）性指标时，在分析数据获取的难易程度及客观性的基础上，考虑到专项资金主要用于</w:t>
      </w:r>
      <w:r w:rsidRPr="00422D0A">
        <w:rPr>
          <w:rFonts w:ascii="仿宋" w:eastAsia="仿宋" w:hAnsi="仿宋" w:cs="仿宋" w:hint="eastAsia"/>
          <w:sz w:val="28"/>
          <w:szCs w:val="28"/>
        </w:rPr>
        <w:t>仓顶阳光工程项目</w:t>
      </w:r>
      <w:r w:rsidRPr="00422D0A">
        <w:rPr>
          <w:rFonts w:ascii="仿宋" w:eastAsia="仿宋" w:hAnsi="仿宋" w:cs="仿宋"/>
          <w:sz w:val="28"/>
          <w:szCs w:val="28"/>
        </w:rPr>
        <w:t>方面，其效益主要体现在社会效益和</w:t>
      </w:r>
      <w:r w:rsidRPr="00422D0A">
        <w:rPr>
          <w:rFonts w:ascii="仿宋" w:eastAsia="仿宋" w:hAnsi="仿宋" w:cs="仿宋" w:hint="eastAsia"/>
          <w:sz w:val="28"/>
          <w:szCs w:val="28"/>
        </w:rPr>
        <w:t>可持续影响</w:t>
      </w:r>
      <w:r w:rsidRPr="00422D0A">
        <w:rPr>
          <w:rFonts w:ascii="仿宋" w:eastAsia="仿宋" w:hAnsi="仿宋" w:cs="仿宋"/>
          <w:sz w:val="28"/>
          <w:szCs w:val="28"/>
        </w:rPr>
        <w:t>效益上</w:t>
      </w:r>
      <w:r w:rsidRPr="00422D0A">
        <w:rPr>
          <w:rFonts w:ascii="仿宋" w:eastAsia="仿宋" w:hAnsi="仿宋" w:cs="仿宋" w:hint="eastAsia"/>
          <w:sz w:val="28"/>
          <w:szCs w:val="28"/>
        </w:rPr>
        <w:t>。</w:t>
      </w:r>
      <w:r w:rsidRPr="00422D0A">
        <w:rPr>
          <w:rFonts w:ascii="仿宋" w:eastAsia="仿宋" w:hAnsi="仿宋" w:cs="仿宋"/>
          <w:sz w:val="28"/>
          <w:szCs w:val="28"/>
        </w:rPr>
        <w:t>评价组针对专项资金的实际情况，设置了</w:t>
      </w:r>
      <w:r w:rsidRPr="00422D0A">
        <w:rPr>
          <w:rFonts w:ascii="仿宋" w:eastAsia="仿宋" w:hAnsi="仿宋" w:cs="仿宋" w:hint="eastAsia"/>
          <w:sz w:val="28"/>
          <w:szCs w:val="28"/>
        </w:rPr>
        <w:t>3个</w:t>
      </w:r>
      <w:r w:rsidRPr="00422D0A">
        <w:rPr>
          <w:rFonts w:ascii="仿宋" w:eastAsia="仿宋" w:hAnsi="仿宋" w:cs="仿宋"/>
          <w:sz w:val="28"/>
          <w:szCs w:val="28"/>
        </w:rPr>
        <w:t>特（个）性指标，涉及分值</w:t>
      </w:r>
      <w:r w:rsidRPr="00422D0A">
        <w:rPr>
          <w:rFonts w:ascii="仿宋" w:eastAsia="仿宋" w:hAnsi="仿宋"/>
          <w:sz w:val="28"/>
          <w:szCs w:val="28"/>
        </w:rPr>
        <w:t>40</w:t>
      </w:r>
      <w:r w:rsidRPr="00422D0A">
        <w:rPr>
          <w:rFonts w:ascii="仿宋" w:eastAsia="仿宋" w:hAnsi="仿宋" w:cs="仿宋"/>
          <w:sz w:val="28"/>
          <w:szCs w:val="28"/>
        </w:rPr>
        <w:t>分。具体情况如下：</w:t>
      </w:r>
    </w:p>
    <w:tbl>
      <w:tblPr>
        <w:tblW w:w="4889"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229"/>
        <w:gridCol w:w="2732"/>
        <w:gridCol w:w="2185"/>
        <w:gridCol w:w="2187"/>
      </w:tblGrid>
      <w:tr w:rsidR="00422D0A" w:rsidTr="005B1174">
        <w:trPr>
          <w:trHeight w:hRule="exact" w:val="340"/>
          <w:jc w:val="center"/>
        </w:trPr>
        <w:tc>
          <w:tcPr>
            <w:tcW w:w="738" w:type="pct"/>
            <w:vAlign w:val="center"/>
          </w:tcPr>
          <w:p w:rsidR="00422D0A" w:rsidRDefault="00422D0A" w:rsidP="005B1174">
            <w:pPr>
              <w:adjustRightInd w:val="0"/>
              <w:snapToGrid w:val="0"/>
              <w:spacing w:line="240" w:lineRule="exact"/>
              <w:jc w:val="center"/>
              <w:rPr>
                <w:rFonts w:ascii="仿宋_GB2312" w:eastAsia="仿宋_GB2312" w:hAnsiTheme="minorEastAsia"/>
                <w:b/>
                <w:bCs/>
                <w:sz w:val="20"/>
              </w:rPr>
            </w:pPr>
            <w:r>
              <w:rPr>
                <w:rFonts w:ascii="仿宋_GB2312" w:eastAsia="仿宋_GB2312" w:hAnsiTheme="minorEastAsia" w:hint="eastAsia"/>
                <w:b/>
                <w:bCs/>
                <w:sz w:val="20"/>
              </w:rPr>
              <w:lastRenderedPageBreak/>
              <w:t>序号</w:t>
            </w:r>
          </w:p>
        </w:tc>
        <w:tc>
          <w:tcPr>
            <w:tcW w:w="1639" w:type="pct"/>
            <w:vAlign w:val="center"/>
          </w:tcPr>
          <w:p w:rsidR="00422D0A" w:rsidRDefault="00422D0A" w:rsidP="005B1174">
            <w:pPr>
              <w:adjustRightInd w:val="0"/>
              <w:snapToGrid w:val="0"/>
              <w:spacing w:line="240" w:lineRule="exact"/>
              <w:jc w:val="center"/>
              <w:rPr>
                <w:rFonts w:ascii="仿宋_GB2312" w:eastAsia="仿宋_GB2312" w:hAnsiTheme="minorEastAsia"/>
                <w:b/>
                <w:bCs/>
                <w:sz w:val="20"/>
              </w:rPr>
            </w:pPr>
            <w:r>
              <w:rPr>
                <w:rFonts w:ascii="仿宋_GB2312" w:eastAsia="仿宋_GB2312" w:hAnsiTheme="minorEastAsia" w:hint="eastAsia"/>
                <w:b/>
                <w:bCs/>
                <w:sz w:val="20"/>
              </w:rPr>
              <w:t>指标评价内容</w:t>
            </w:r>
          </w:p>
        </w:tc>
        <w:tc>
          <w:tcPr>
            <w:tcW w:w="1311" w:type="pct"/>
            <w:vAlign w:val="center"/>
          </w:tcPr>
          <w:p w:rsidR="00422D0A" w:rsidRDefault="00422D0A" w:rsidP="005B1174">
            <w:pPr>
              <w:adjustRightInd w:val="0"/>
              <w:snapToGrid w:val="0"/>
              <w:spacing w:line="240" w:lineRule="exact"/>
              <w:jc w:val="center"/>
              <w:rPr>
                <w:rFonts w:ascii="仿宋_GB2312" w:eastAsia="仿宋_GB2312" w:hAnsiTheme="minorEastAsia"/>
                <w:b/>
                <w:bCs/>
                <w:sz w:val="20"/>
              </w:rPr>
            </w:pPr>
            <w:r>
              <w:rPr>
                <w:rFonts w:ascii="仿宋_GB2312" w:eastAsia="仿宋_GB2312" w:hAnsiTheme="minorEastAsia" w:hint="eastAsia"/>
                <w:b/>
                <w:bCs/>
                <w:sz w:val="20"/>
              </w:rPr>
              <w:t>指标个数</w:t>
            </w:r>
          </w:p>
        </w:tc>
        <w:tc>
          <w:tcPr>
            <w:tcW w:w="1312" w:type="pct"/>
            <w:vAlign w:val="center"/>
          </w:tcPr>
          <w:p w:rsidR="00422D0A" w:rsidRDefault="00422D0A" w:rsidP="005B1174">
            <w:pPr>
              <w:adjustRightInd w:val="0"/>
              <w:snapToGrid w:val="0"/>
              <w:spacing w:line="240" w:lineRule="exact"/>
              <w:jc w:val="center"/>
              <w:rPr>
                <w:rFonts w:ascii="仿宋_GB2312" w:eastAsia="仿宋_GB2312" w:hAnsiTheme="minorEastAsia"/>
                <w:b/>
                <w:bCs/>
                <w:sz w:val="20"/>
              </w:rPr>
            </w:pPr>
            <w:r>
              <w:rPr>
                <w:rFonts w:ascii="仿宋_GB2312" w:eastAsia="仿宋_GB2312" w:hAnsiTheme="minorEastAsia" w:hint="eastAsia"/>
                <w:b/>
                <w:bCs/>
                <w:sz w:val="20"/>
              </w:rPr>
              <w:t>分值</w:t>
            </w:r>
          </w:p>
        </w:tc>
      </w:tr>
      <w:tr w:rsidR="00422D0A" w:rsidTr="005B1174">
        <w:trPr>
          <w:trHeight w:hRule="exact" w:val="340"/>
          <w:jc w:val="center"/>
        </w:trPr>
        <w:tc>
          <w:tcPr>
            <w:tcW w:w="738"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方正楷体_GBK"/>
                <w:sz w:val="20"/>
                <w:lang w:bidi="ar"/>
              </w:rPr>
              <w:t>1</w:t>
            </w:r>
          </w:p>
        </w:tc>
        <w:tc>
          <w:tcPr>
            <w:tcW w:w="1639"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仿宋_GB2312"/>
                <w:sz w:val="20"/>
                <w:lang w:bidi="ar"/>
              </w:rPr>
              <w:t>质量达标</w:t>
            </w:r>
          </w:p>
        </w:tc>
        <w:tc>
          <w:tcPr>
            <w:tcW w:w="1311"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方正楷体_GBK"/>
                <w:sz w:val="20"/>
                <w:lang w:bidi="ar"/>
              </w:rPr>
              <w:t>1</w:t>
            </w:r>
          </w:p>
        </w:tc>
        <w:tc>
          <w:tcPr>
            <w:tcW w:w="1312" w:type="pct"/>
            <w:vAlign w:val="center"/>
          </w:tcPr>
          <w:p w:rsidR="00422D0A" w:rsidRPr="00B05BFE" w:rsidRDefault="00422D0A" w:rsidP="005B1174">
            <w:pPr>
              <w:adjustRightInd w:val="0"/>
              <w:snapToGrid w:val="0"/>
              <w:spacing w:line="240" w:lineRule="exact"/>
              <w:jc w:val="center"/>
              <w:rPr>
                <w:rFonts w:asciiTheme="minorEastAsia" w:hAnsiTheme="minorEastAsia" w:cs="方正楷体_GBK"/>
                <w:sz w:val="20"/>
                <w:lang w:bidi="ar"/>
              </w:rPr>
            </w:pPr>
            <w:r w:rsidRPr="00B05BFE">
              <w:rPr>
                <w:rFonts w:asciiTheme="minorEastAsia" w:hAnsiTheme="minorEastAsia" w:cs="方正楷体_GBK"/>
                <w:sz w:val="20"/>
                <w:lang w:bidi="ar"/>
              </w:rPr>
              <w:t>15</w:t>
            </w:r>
          </w:p>
        </w:tc>
      </w:tr>
      <w:tr w:rsidR="00422D0A" w:rsidTr="005B1174">
        <w:trPr>
          <w:trHeight w:hRule="exact" w:val="340"/>
          <w:jc w:val="center"/>
        </w:trPr>
        <w:tc>
          <w:tcPr>
            <w:tcW w:w="738"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方正楷体_GBK"/>
                <w:sz w:val="20"/>
                <w:lang w:bidi="ar"/>
              </w:rPr>
              <w:t>2</w:t>
            </w:r>
          </w:p>
        </w:tc>
        <w:tc>
          <w:tcPr>
            <w:tcW w:w="1639"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仿宋_GB2312"/>
                <w:sz w:val="20"/>
                <w:lang w:bidi="ar"/>
              </w:rPr>
              <w:t>运行效率</w:t>
            </w:r>
          </w:p>
        </w:tc>
        <w:tc>
          <w:tcPr>
            <w:tcW w:w="1311"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方正楷体_GBK"/>
                <w:sz w:val="20"/>
                <w:lang w:bidi="ar"/>
              </w:rPr>
              <w:t>1</w:t>
            </w:r>
          </w:p>
        </w:tc>
        <w:tc>
          <w:tcPr>
            <w:tcW w:w="1312"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方正楷体_GBK"/>
                <w:sz w:val="20"/>
                <w:lang w:bidi="ar"/>
              </w:rPr>
              <w:t>15</w:t>
            </w:r>
          </w:p>
        </w:tc>
      </w:tr>
      <w:tr w:rsidR="00422D0A" w:rsidTr="005B1174">
        <w:trPr>
          <w:trHeight w:hRule="exact" w:val="340"/>
          <w:jc w:val="center"/>
        </w:trPr>
        <w:tc>
          <w:tcPr>
            <w:tcW w:w="738"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方正楷体_GBK"/>
                <w:sz w:val="20"/>
                <w:lang w:bidi="ar"/>
              </w:rPr>
              <w:t>3</w:t>
            </w:r>
          </w:p>
        </w:tc>
        <w:tc>
          <w:tcPr>
            <w:tcW w:w="1639"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仿宋_GB2312"/>
                <w:sz w:val="20"/>
                <w:lang w:bidi="ar"/>
              </w:rPr>
              <w:t>社会满意度</w:t>
            </w:r>
          </w:p>
        </w:tc>
        <w:tc>
          <w:tcPr>
            <w:tcW w:w="1311"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方正楷体_GBK"/>
                <w:sz w:val="20"/>
                <w:lang w:bidi="ar"/>
              </w:rPr>
              <w:t>1</w:t>
            </w:r>
          </w:p>
        </w:tc>
        <w:tc>
          <w:tcPr>
            <w:tcW w:w="1312" w:type="pct"/>
            <w:vAlign w:val="center"/>
          </w:tcPr>
          <w:p w:rsidR="00422D0A" w:rsidRPr="00B05BFE" w:rsidRDefault="00422D0A" w:rsidP="005B1174">
            <w:pPr>
              <w:adjustRightInd w:val="0"/>
              <w:snapToGrid w:val="0"/>
              <w:spacing w:line="240" w:lineRule="exact"/>
              <w:jc w:val="center"/>
              <w:rPr>
                <w:rFonts w:asciiTheme="minorEastAsia" w:hAnsiTheme="minorEastAsia"/>
                <w:sz w:val="20"/>
              </w:rPr>
            </w:pPr>
            <w:r w:rsidRPr="00B05BFE">
              <w:rPr>
                <w:rFonts w:asciiTheme="minorEastAsia" w:hAnsiTheme="minorEastAsia" w:cs="方正楷体_GBK"/>
                <w:sz w:val="20"/>
                <w:lang w:bidi="ar"/>
              </w:rPr>
              <w:t>10</w:t>
            </w:r>
          </w:p>
        </w:tc>
      </w:tr>
      <w:tr w:rsidR="00422D0A" w:rsidTr="005B1174">
        <w:trPr>
          <w:trHeight w:hRule="exact" w:val="340"/>
          <w:jc w:val="center"/>
        </w:trPr>
        <w:tc>
          <w:tcPr>
            <w:tcW w:w="2377" w:type="pct"/>
            <w:gridSpan w:val="2"/>
            <w:vAlign w:val="center"/>
          </w:tcPr>
          <w:p w:rsidR="00422D0A" w:rsidRDefault="00422D0A" w:rsidP="005B1174">
            <w:pPr>
              <w:adjustRightInd w:val="0"/>
              <w:snapToGrid w:val="0"/>
              <w:spacing w:line="240" w:lineRule="exact"/>
              <w:jc w:val="center"/>
              <w:rPr>
                <w:rFonts w:ascii="仿宋_GB2312" w:eastAsia="仿宋_GB2312" w:hAnsiTheme="minorEastAsia"/>
                <w:b/>
                <w:sz w:val="20"/>
              </w:rPr>
            </w:pPr>
            <w:r>
              <w:rPr>
                <w:rFonts w:ascii="仿宋_GB2312" w:eastAsia="仿宋_GB2312" w:hAnsiTheme="minorEastAsia" w:hint="eastAsia"/>
                <w:b/>
                <w:sz w:val="20"/>
              </w:rPr>
              <w:t>合计</w:t>
            </w:r>
          </w:p>
        </w:tc>
        <w:tc>
          <w:tcPr>
            <w:tcW w:w="1311" w:type="pct"/>
            <w:vAlign w:val="center"/>
          </w:tcPr>
          <w:p w:rsidR="00422D0A" w:rsidRDefault="00422D0A" w:rsidP="005B1174">
            <w:pPr>
              <w:adjustRightInd w:val="0"/>
              <w:snapToGrid w:val="0"/>
              <w:spacing w:line="240" w:lineRule="exact"/>
              <w:jc w:val="center"/>
              <w:rPr>
                <w:rFonts w:eastAsia="仿宋_GB2312"/>
                <w:b/>
                <w:sz w:val="20"/>
              </w:rPr>
            </w:pPr>
            <w:r>
              <w:rPr>
                <w:rFonts w:eastAsia="仿宋_GB2312" w:hint="eastAsia"/>
                <w:b/>
                <w:sz w:val="20"/>
              </w:rPr>
              <w:t>3</w:t>
            </w:r>
          </w:p>
        </w:tc>
        <w:tc>
          <w:tcPr>
            <w:tcW w:w="1312" w:type="pct"/>
            <w:vAlign w:val="center"/>
          </w:tcPr>
          <w:p w:rsidR="00422D0A" w:rsidRDefault="00422D0A" w:rsidP="005B1174">
            <w:pPr>
              <w:adjustRightInd w:val="0"/>
              <w:snapToGrid w:val="0"/>
              <w:spacing w:line="240" w:lineRule="exact"/>
              <w:jc w:val="center"/>
              <w:rPr>
                <w:rFonts w:eastAsia="仿宋_GB2312"/>
                <w:b/>
                <w:sz w:val="20"/>
              </w:rPr>
            </w:pPr>
            <w:r>
              <w:rPr>
                <w:rFonts w:eastAsia="仿宋_GB2312"/>
                <w:b/>
                <w:sz w:val="20"/>
              </w:rPr>
              <w:t>40</w:t>
            </w:r>
          </w:p>
        </w:tc>
      </w:tr>
    </w:tbl>
    <w:p w:rsidR="00422D0A" w:rsidRPr="00422D0A" w:rsidRDefault="00422D0A" w:rsidP="00422D0A">
      <w:pPr>
        <w:pStyle w:val="1"/>
        <w:rPr>
          <w:rFonts w:ascii="仿宋" w:eastAsia="仿宋" w:hAnsi="仿宋"/>
          <w:sz w:val="28"/>
          <w:lang w:eastAsia="zh-CN"/>
        </w:rPr>
      </w:pPr>
      <w:bookmarkStart w:id="26" w:name="_Toc124325856"/>
      <w:r w:rsidRPr="00422D0A">
        <w:rPr>
          <w:rFonts w:ascii="仿宋" w:eastAsia="仿宋" w:hAnsi="仿宋" w:hint="eastAsia"/>
          <w:sz w:val="28"/>
          <w:lang w:eastAsia="zh-CN"/>
        </w:rPr>
        <w:t>三、评价结论</w:t>
      </w:r>
      <w:bookmarkEnd w:id="26"/>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总体上看，该项目决策依据充分，决策程序规范、目标基本明确，组织实施有序。通过项目实施，有利于降低低温储粮电力费用，减轻财政有利于贯彻粮食储备“两个确保”和国家粮食安全政策，有利于满足粮食流通和社会发展，有利于提高粮食储藏技术水平。项目管理、节约财政资金等方面完成良好，但评价也发现存在财政资金结余等方面的问题。</w:t>
      </w:r>
    </w:p>
    <w:p w:rsidR="00422D0A" w:rsidRPr="00422D0A" w:rsidRDefault="00422D0A" w:rsidP="00422D0A">
      <w:pPr>
        <w:pStyle w:val="1"/>
        <w:spacing w:line="440" w:lineRule="exact"/>
        <w:rPr>
          <w:rFonts w:ascii="仿宋" w:eastAsia="仿宋" w:hAnsi="仿宋"/>
          <w:sz w:val="28"/>
          <w:lang w:eastAsia="zh-CN"/>
        </w:rPr>
      </w:pPr>
      <w:bookmarkStart w:id="27" w:name="_Toc124325857"/>
      <w:bookmarkStart w:id="28" w:name="_Toc3621"/>
      <w:bookmarkStart w:id="29" w:name="_Toc118666489"/>
      <w:r w:rsidRPr="00422D0A">
        <w:rPr>
          <w:rFonts w:ascii="仿宋" w:eastAsia="仿宋" w:hAnsi="仿宋" w:hint="eastAsia"/>
          <w:sz w:val="28"/>
          <w:lang w:eastAsia="zh-CN"/>
        </w:rPr>
        <w:t>四、项目绩效分析</w:t>
      </w:r>
      <w:bookmarkEnd w:id="27"/>
      <w:bookmarkEnd w:id="28"/>
      <w:bookmarkEnd w:id="29"/>
    </w:p>
    <w:p w:rsidR="00422D0A" w:rsidRPr="00422D0A" w:rsidRDefault="00422D0A" w:rsidP="00422D0A">
      <w:pPr>
        <w:rPr>
          <w:rFonts w:ascii="仿宋" w:eastAsia="仿宋" w:hAnsi="仿宋"/>
          <w:b/>
          <w:sz w:val="28"/>
          <w:szCs w:val="28"/>
        </w:rPr>
      </w:pPr>
      <w:bookmarkStart w:id="30" w:name="_Toc124325858"/>
      <w:bookmarkStart w:id="31" w:name="_Toc118666490"/>
      <w:r w:rsidRPr="00422D0A">
        <w:rPr>
          <w:rFonts w:ascii="仿宋" w:eastAsia="仿宋" w:hAnsi="仿宋" w:hint="eastAsia"/>
          <w:b/>
          <w:sz w:val="28"/>
          <w:szCs w:val="28"/>
        </w:rPr>
        <w:t>（一）项目决策分析</w:t>
      </w:r>
      <w:bookmarkEnd w:id="30"/>
      <w:bookmarkEnd w:id="31"/>
    </w:p>
    <w:p w:rsidR="00422D0A" w:rsidRPr="00422D0A" w:rsidRDefault="00422D0A" w:rsidP="00422D0A">
      <w:pPr>
        <w:rPr>
          <w:rFonts w:ascii="仿宋" w:eastAsia="仿宋" w:hAnsi="仿宋" w:hint="eastAsia"/>
          <w:sz w:val="28"/>
          <w:szCs w:val="28"/>
        </w:rPr>
      </w:pPr>
      <w:bookmarkStart w:id="32" w:name="_Toc124325859"/>
      <w:r w:rsidRPr="00422D0A">
        <w:rPr>
          <w:rFonts w:ascii="仿宋" w:eastAsia="仿宋" w:hAnsi="仿宋" w:hint="eastAsia"/>
          <w:sz w:val="28"/>
          <w:szCs w:val="28"/>
        </w:rPr>
        <w:t>1.设立政策依据</w:t>
      </w:r>
      <w:bookmarkEnd w:id="32"/>
    </w:p>
    <w:p w:rsidR="00422D0A" w:rsidRPr="00422D0A" w:rsidRDefault="00422D0A" w:rsidP="00422D0A">
      <w:pPr>
        <w:ind w:firstLineChars="200" w:firstLine="560"/>
        <w:rPr>
          <w:rFonts w:ascii="仿宋" w:eastAsia="仿宋" w:hAnsi="仿宋"/>
          <w:sz w:val="28"/>
          <w:szCs w:val="28"/>
        </w:rPr>
      </w:pPr>
      <w:r w:rsidRPr="00422D0A">
        <w:rPr>
          <w:rFonts w:ascii="仿宋" w:eastAsia="仿宋" w:hAnsi="仿宋" w:cs="仿宋" w:hint="eastAsia"/>
          <w:sz w:val="28"/>
          <w:szCs w:val="28"/>
        </w:rPr>
        <w:t>《关于审批申请</w:t>
      </w:r>
      <w:r>
        <w:rPr>
          <w:rFonts w:ascii="仿宋" w:eastAsia="仿宋" w:hAnsi="仿宋" w:cs="仿宋" w:hint="eastAsia"/>
          <w:sz w:val="28"/>
          <w:szCs w:val="28"/>
        </w:rPr>
        <w:t>2022</w:t>
      </w:r>
      <w:r w:rsidRPr="00422D0A">
        <w:rPr>
          <w:rFonts w:ascii="仿宋" w:eastAsia="仿宋" w:hAnsi="仿宋" w:cs="仿宋" w:hint="eastAsia"/>
          <w:sz w:val="28"/>
          <w:szCs w:val="28"/>
        </w:rPr>
        <w:t>年仓顶阳光工程项目建议书的请示》(邻储粮司〔2022〕7号)，为切实降低保粮成本，减轻财政压力，经研究，原则同意</w:t>
      </w:r>
      <w:r>
        <w:rPr>
          <w:rFonts w:ascii="仿宋" w:eastAsia="仿宋" w:hAnsi="仿宋" w:cs="仿宋" w:hint="eastAsia"/>
          <w:sz w:val="28"/>
          <w:szCs w:val="28"/>
        </w:rPr>
        <w:t>2022</w:t>
      </w:r>
      <w:r w:rsidRPr="00422D0A">
        <w:rPr>
          <w:rFonts w:ascii="仿宋" w:eastAsia="仿宋" w:hAnsi="仿宋" w:cs="仿宋" w:hint="eastAsia"/>
          <w:sz w:val="28"/>
          <w:szCs w:val="28"/>
        </w:rPr>
        <w:t>年仓顶阳光工程项目建议书。</w:t>
      </w:r>
    </w:p>
    <w:p w:rsidR="00422D0A" w:rsidRPr="00422D0A" w:rsidRDefault="00422D0A" w:rsidP="00422D0A">
      <w:pPr>
        <w:rPr>
          <w:rFonts w:ascii="仿宋" w:eastAsia="仿宋" w:hAnsi="仿宋"/>
          <w:sz w:val="28"/>
          <w:szCs w:val="28"/>
        </w:rPr>
      </w:pPr>
      <w:bookmarkStart w:id="33" w:name="_Toc124325860"/>
      <w:r w:rsidRPr="00422D0A">
        <w:rPr>
          <w:rFonts w:ascii="仿宋" w:eastAsia="仿宋" w:hAnsi="仿宋"/>
          <w:sz w:val="28"/>
          <w:szCs w:val="28"/>
        </w:rPr>
        <w:t>2.项目规划及目标设置情况</w:t>
      </w:r>
      <w:bookmarkEnd w:id="33"/>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项目建设的必要性及效益分析该项目建成后，有利于降低低温储粮电力费用，减轻财政，有利于贯彻粮食储备“两个确保”和国家粮食安全政策，有利于满足粮食流通和社会发展，有利于提高粮食储藏技术水平。</w:t>
      </w:r>
    </w:p>
    <w:p w:rsidR="00422D0A" w:rsidRPr="00422D0A" w:rsidRDefault="00422D0A" w:rsidP="00422D0A">
      <w:pPr>
        <w:rPr>
          <w:rFonts w:ascii="仿宋" w:eastAsia="仿宋" w:hAnsi="仿宋"/>
          <w:b/>
          <w:sz w:val="28"/>
          <w:szCs w:val="28"/>
        </w:rPr>
      </w:pPr>
      <w:bookmarkStart w:id="34" w:name="_Toc9422"/>
      <w:bookmarkStart w:id="35" w:name="_Toc124325861"/>
      <w:bookmarkStart w:id="36" w:name="_Toc118666491"/>
      <w:r w:rsidRPr="00422D0A">
        <w:rPr>
          <w:rFonts w:ascii="仿宋" w:eastAsia="仿宋" w:hAnsi="仿宋" w:hint="eastAsia"/>
          <w:b/>
          <w:sz w:val="28"/>
          <w:szCs w:val="28"/>
        </w:rPr>
        <w:t>（二）项目实施分析</w:t>
      </w:r>
      <w:bookmarkEnd w:id="34"/>
      <w:bookmarkEnd w:id="35"/>
      <w:bookmarkEnd w:id="36"/>
    </w:p>
    <w:p w:rsidR="00422D0A" w:rsidRPr="00422D0A" w:rsidRDefault="00422D0A" w:rsidP="00422D0A">
      <w:pPr>
        <w:rPr>
          <w:rFonts w:ascii="仿宋" w:eastAsia="仿宋" w:hAnsi="仿宋"/>
          <w:sz w:val="28"/>
          <w:szCs w:val="28"/>
        </w:rPr>
      </w:pPr>
      <w:bookmarkStart w:id="37" w:name="_Toc124325862"/>
      <w:r w:rsidRPr="00422D0A">
        <w:rPr>
          <w:rFonts w:ascii="仿宋" w:eastAsia="仿宋" w:hAnsi="仿宋" w:hint="eastAsia"/>
          <w:sz w:val="28"/>
          <w:szCs w:val="28"/>
        </w:rPr>
        <w:t>1.资金情况</w:t>
      </w:r>
      <w:bookmarkEnd w:id="37"/>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lastRenderedPageBreak/>
        <w:t>本项目总预算资金为</w:t>
      </w:r>
      <w:r w:rsidRPr="00422D0A">
        <w:rPr>
          <w:rFonts w:ascii="仿宋" w:eastAsia="仿宋" w:hAnsi="仿宋" w:hint="eastAsia"/>
          <w:sz w:val="28"/>
          <w:szCs w:val="28"/>
        </w:rPr>
        <w:t>275</w:t>
      </w:r>
      <w:r w:rsidRPr="00422D0A">
        <w:rPr>
          <w:rFonts w:ascii="仿宋" w:eastAsia="仿宋" w:hAnsi="仿宋" w:cs="仿宋"/>
          <w:sz w:val="28"/>
          <w:szCs w:val="28"/>
        </w:rPr>
        <w:t>.00</w:t>
      </w:r>
      <w:r w:rsidRPr="00422D0A">
        <w:rPr>
          <w:rFonts w:ascii="仿宋" w:eastAsia="仿宋" w:hAnsi="仿宋" w:cs="仿宋" w:hint="eastAsia"/>
          <w:sz w:val="28"/>
          <w:szCs w:val="28"/>
        </w:rPr>
        <w:t>万元，其中省级资金</w:t>
      </w:r>
      <w:r w:rsidRPr="00422D0A">
        <w:rPr>
          <w:rFonts w:ascii="仿宋" w:eastAsia="仿宋" w:hAnsi="仿宋" w:hint="eastAsia"/>
          <w:sz w:val="28"/>
          <w:szCs w:val="28"/>
        </w:rPr>
        <w:t>275</w:t>
      </w:r>
      <w:r w:rsidRPr="00422D0A">
        <w:rPr>
          <w:rFonts w:ascii="仿宋" w:eastAsia="仿宋" w:hAnsi="仿宋" w:cs="仿宋"/>
          <w:sz w:val="28"/>
          <w:szCs w:val="28"/>
        </w:rPr>
        <w:t>.00</w:t>
      </w:r>
      <w:r w:rsidRPr="00422D0A">
        <w:rPr>
          <w:rFonts w:ascii="仿宋" w:eastAsia="仿宋" w:hAnsi="仿宋" w:cs="仿宋" w:hint="eastAsia"/>
          <w:sz w:val="28"/>
          <w:szCs w:val="28"/>
        </w:rPr>
        <w:t>万元。本次主要202</w:t>
      </w:r>
      <w:r w:rsidRPr="00422D0A">
        <w:rPr>
          <w:rFonts w:ascii="仿宋" w:eastAsia="仿宋" w:hAnsi="仿宋" w:cs="仿宋"/>
          <w:sz w:val="28"/>
          <w:szCs w:val="28"/>
        </w:rPr>
        <w:t>2</w:t>
      </w:r>
      <w:r w:rsidRPr="00422D0A">
        <w:rPr>
          <w:rFonts w:ascii="仿宋" w:eastAsia="仿宋" w:hAnsi="仿宋" w:cs="仿宋" w:hint="eastAsia"/>
          <w:sz w:val="28"/>
          <w:szCs w:val="28"/>
        </w:rPr>
        <w:t>年</w:t>
      </w:r>
      <w:r w:rsidRPr="00422D0A">
        <w:rPr>
          <w:rFonts w:ascii="仿宋" w:eastAsia="仿宋" w:hAnsi="仿宋" w:hint="eastAsia"/>
          <w:sz w:val="28"/>
          <w:szCs w:val="28"/>
        </w:rPr>
        <w:t>275</w:t>
      </w:r>
      <w:r w:rsidRPr="00422D0A">
        <w:rPr>
          <w:rFonts w:ascii="仿宋" w:eastAsia="仿宋" w:hAnsi="仿宋" w:cs="仿宋"/>
          <w:sz w:val="28"/>
          <w:szCs w:val="28"/>
        </w:rPr>
        <w:t>.00</w:t>
      </w:r>
      <w:r w:rsidRPr="00422D0A">
        <w:rPr>
          <w:rFonts w:ascii="仿宋" w:eastAsia="仿宋" w:hAnsi="仿宋" w:hint="eastAsia"/>
          <w:sz w:val="28"/>
          <w:szCs w:val="28"/>
        </w:rPr>
        <w:t>万</w:t>
      </w:r>
      <w:r w:rsidRPr="00422D0A">
        <w:rPr>
          <w:rFonts w:ascii="仿宋" w:eastAsia="仿宋" w:hAnsi="仿宋" w:cs="仿宋" w:hint="eastAsia"/>
          <w:sz w:val="28"/>
          <w:szCs w:val="28"/>
        </w:rPr>
        <w:t>省级促进粮油高质量发展资金进行绩效评价，截至评价小组评价日，该笔资金实际执行</w:t>
      </w:r>
      <w:r w:rsidRPr="00422D0A">
        <w:rPr>
          <w:rFonts w:ascii="仿宋" w:eastAsia="仿宋" w:hAnsi="仿宋" w:cs="仿宋_GB2312" w:hint="eastAsia"/>
          <w:bCs/>
          <w:sz w:val="28"/>
          <w:szCs w:val="28"/>
        </w:rPr>
        <w:t>179.93</w:t>
      </w:r>
      <w:r w:rsidRPr="00422D0A">
        <w:rPr>
          <w:rFonts w:ascii="仿宋" w:eastAsia="仿宋" w:hAnsi="仿宋" w:cs="仿宋" w:hint="eastAsia"/>
          <w:sz w:val="28"/>
          <w:szCs w:val="28"/>
        </w:rPr>
        <w:t>万元，资金执行率</w:t>
      </w:r>
      <w:r w:rsidRPr="00422D0A">
        <w:rPr>
          <w:rFonts w:ascii="仿宋" w:eastAsia="仿宋" w:hAnsi="仿宋" w:hint="eastAsia"/>
          <w:sz w:val="28"/>
          <w:szCs w:val="28"/>
        </w:rPr>
        <w:t>65.42%</w:t>
      </w:r>
      <w:r w:rsidRPr="00422D0A">
        <w:rPr>
          <w:rFonts w:ascii="仿宋" w:eastAsia="仿宋" w:hAnsi="仿宋" w:cs="仿宋" w:hint="eastAsia"/>
          <w:sz w:val="28"/>
          <w:szCs w:val="28"/>
        </w:rPr>
        <w:t>。</w:t>
      </w:r>
    </w:p>
    <w:p w:rsidR="00422D0A" w:rsidRPr="00422D0A" w:rsidRDefault="00422D0A" w:rsidP="00422D0A">
      <w:pPr>
        <w:rPr>
          <w:rFonts w:ascii="仿宋" w:eastAsia="仿宋" w:hAnsi="仿宋"/>
          <w:sz w:val="28"/>
          <w:szCs w:val="28"/>
        </w:rPr>
      </w:pPr>
      <w:bookmarkStart w:id="38" w:name="_Toc124325863"/>
      <w:r w:rsidRPr="00422D0A">
        <w:rPr>
          <w:rFonts w:ascii="仿宋" w:eastAsia="仿宋" w:hAnsi="仿宋" w:hint="eastAsia"/>
          <w:sz w:val="28"/>
          <w:szCs w:val="28"/>
        </w:rPr>
        <w:t>2.资金使用情况</w:t>
      </w:r>
      <w:bookmarkEnd w:id="38"/>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截至评价小组评价日，该笔资金实际执行</w:t>
      </w:r>
      <w:r w:rsidRPr="00422D0A">
        <w:rPr>
          <w:rFonts w:ascii="仿宋" w:eastAsia="仿宋" w:hAnsi="仿宋" w:cs="仿宋_GB2312" w:hint="eastAsia"/>
          <w:bCs/>
          <w:sz w:val="28"/>
          <w:szCs w:val="28"/>
        </w:rPr>
        <w:t>179.93</w:t>
      </w:r>
      <w:r w:rsidRPr="00422D0A">
        <w:rPr>
          <w:rFonts w:ascii="仿宋" w:eastAsia="仿宋" w:hAnsi="仿宋" w:cs="仿宋" w:hint="eastAsia"/>
          <w:sz w:val="28"/>
          <w:szCs w:val="28"/>
        </w:rPr>
        <w:t>万元。支付仓顶阳光项目进度款28</w:t>
      </w:r>
      <w:r w:rsidRPr="00422D0A">
        <w:rPr>
          <w:rFonts w:ascii="仿宋" w:eastAsia="仿宋" w:hAnsi="仿宋" w:cs="仿宋"/>
          <w:sz w:val="28"/>
          <w:szCs w:val="28"/>
        </w:rPr>
        <w:t>.00</w:t>
      </w:r>
      <w:r w:rsidRPr="00422D0A">
        <w:rPr>
          <w:rFonts w:ascii="仿宋" w:eastAsia="仿宋" w:hAnsi="仿宋" w:cs="仿宋" w:hint="eastAsia"/>
          <w:sz w:val="28"/>
          <w:szCs w:val="28"/>
        </w:rPr>
        <w:t>万元，支付仓顶阳光项目工程款27.95万元，支付仓顶阳光工程进度款121,23万元，支付仓顶阳光项目监理费2.75万元，合计执行179.93万元。</w:t>
      </w:r>
    </w:p>
    <w:p w:rsidR="00422D0A" w:rsidRPr="00422D0A" w:rsidRDefault="00422D0A" w:rsidP="00422D0A">
      <w:pPr>
        <w:rPr>
          <w:rFonts w:ascii="仿宋" w:eastAsia="仿宋" w:hAnsi="仿宋"/>
          <w:b/>
          <w:sz w:val="28"/>
          <w:szCs w:val="28"/>
        </w:rPr>
      </w:pPr>
      <w:bookmarkStart w:id="39" w:name="_Toc124325864"/>
      <w:r w:rsidRPr="00422D0A">
        <w:rPr>
          <w:rFonts w:ascii="仿宋" w:eastAsia="仿宋" w:hAnsi="仿宋" w:hint="eastAsia"/>
          <w:b/>
          <w:sz w:val="28"/>
          <w:szCs w:val="28"/>
        </w:rPr>
        <w:t>（三）项目绩效分析</w:t>
      </w:r>
      <w:bookmarkEnd w:id="39"/>
    </w:p>
    <w:p w:rsidR="002427EA" w:rsidRDefault="00422D0A" w:rsidP="00422D0A">
      <w:pPr>
        <w:adjustRightInd w:val="0"/>
        <w:snapToGrid w:val="0"/>
        <w:spacing w:line="578" w:lineRule="exact"/>
        <w:ind w:firstLineChars="200" w:firstLine="560"/>
        <w:rPr>
          <w:rFonts w:ascii="仿宋" w:eastAsia="仿宋" w:hAnsi="仿宋" w:cs="仿宋" w:hint="eastAsia"/>
          <w:sz w:val="28"/>
          <w:szCs w:val="28"/>
        </w:rPr>
      </w:pPr>
      <w:r w:rsidRPr="00422D0A">
        <w:rPr>
          <w:rFonts w:ascii="仿宋" w:eastAsia="仿宋" w:hAnsi="仿宋" w:cs="仿宋" w:hint="eastAsia"/>
          <w:sz w:val="28"/>
          <w:szCs w:val="28"/>
        </w:rPr>
        <w:t>通过项目实施，有利于降低低温储粮电力费用，减轻财政有利于贯彻粮食储备“两个确保”和国家粮食安全政策，有利于满足粮食流通和社会发展，有利于提高粮食储藏技术水平。评价小组运用评价指标体系及评分标准，通过比较法、因素分析法等，对</w:t>
      </w:r>
      <w:r w:rsidRPr="00422D0A">
        <w:rPr>
          <w:rFonts w:ascii="仿宋" w:eastAsia="仿宋" w:hAnsi="仿宋" w:hint="eastAsia"/>
          <w:sz w:val="28"/>
          <w:szCs w:val="28"/>
        </w:rPr>
        <w:t>2022</w:t>
      </w:r>
      <w:r w:rsidRPr="00422D0A">
        <w:rPr>
          <w:rFonts w:ascii="仿宋" w:eastAsia="仿宋" w:hAnsi="仿宋" w:cs="仿宋" w:hint="eastAsia"/>
          <w:sz w:val="28"/>
          <w:szCs w:val="28"/>
        </w:rPr>
        <w:t xml:space="preserve"> 年仓顶阳光工程专项资金进行客观评价，最终评估结果如下所示：</w:t>
      </w:r>
    </w:p>
    <w:p w:rsidR="00422D0A" w:rsidRPr="00422D0A" w:rsidRDefault="00422D0A" w:rsidP="00422D0A">
      <w:pPr>
        <w:adjustRightInd w:val="0"/>
        <w:snapToGrid w:val="0"/>
        <w:spacing w:line="578" w:lineRule="exact"/>
        <w:ind w:firstLineChars="200" w:firstLine="560"/>
        <w:rPr>
          <w:rFonts w:ascii="仿宋" w:eastAsia="仿宋" w:hAnsi="仿宋" w:cs="仿宋_GB2312"/>
          <w:bCs/>
          <w:sz w:val="28"/>
          <w:szCs w:val="28"/>
        </w:rPr>
      </w:pPr>
      <w:r w:rsidRPr="00422D0A">
        <w:rPr>
          <w:rFonts w:ascii="仿宋" w:eastAsia="仿宋" w:hAnsi="仿宋" w:cs="仿宋_GB2312"/>
          <w:bCs/>
          <w:sz w:val="28"/>
          <w:szCs w:val="28"/>
        </w:rPr>
        <w:t xml:space="preserve"> </w:t>
      </w:r>
    </w:p>
    <w:tbl>
      <w:tblPr>
        <w:tblW w:w="5000" w:type="pct"/>
        <w:jc w:val="center"/>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251"/>
        <w:gridCol w:w="1236"/>
        <w:gridCol w:w="1251"/>
        <w:gridCol w:w="1999"/>
        <w:gridCol w:w="1764"/>
        <w:gridCol w:w="1021"/>
      </w:tblGrid>
      <w:tr w:rsidR="00422D0A" w:rsidTr="005B1174">
        <w:trPr>
          <w:trHeight w:val="285"/>
          <w:jc w:val="center"/>
        </w:trPr>
        <w:tc>
          <w:tcPr>
            <w:tcW w:w="3366" w:type="pct"/>
            <w:gridSpan w:val="4"/>
            <w:vAlign w:val="center"/>
          </w:tcPr>
          <w:p w:rsidR="00422D0A" w:rsidRPr="00E957C1" w:rsidRDefault="00422D0A" w:rsidP="005B1174">
            <w:pPr>
              <w:widowControl/>
              <w:jc w:val="center"/>
              <w:rPr>
                <w:rFonts w:asciiTheme="minorEastAsia" w:hAnsiTheme="minorEastAsia"/>
                <w:b/>
                <w:bCs/>
                <w:sz w:val="18"/>
                <w:szCs w:val="18"/>
              </w:rPr>
            </w:pPr>
            <w:r w:rsidRPr="00E957C1">
              <w:rPr>
                <w:rFonts w:asciiTheme="minorEastAsia" w:hAnsiTheme="minorEastAsia" w:cs="宋体" w:hint="eastAsia"/>
                <w:b/>
                <w:bCs/>
                <w:color w:val="000000"/>
                <w:kern w:val="0"/>
                <w:sz w:val="18"/>
                <w:szCs w:val="18"/>
              </w:rPr>
              <w:t>分层分类指标</w:t>
            </w:r>
          </w:p>
        </w:tc>
        <w:tc>
          <w:tcPr>
            <w:tcW w:w="1035" w:type="pct"/>
            <w:vMerge w:val="restart"/>
            <w:vAlign w:val="center"/>
          </w:tcPr>
          <w:p w:rsidR="00422D0A" w:rsidRPr="00E957C1" w:rsidRDefault="00422D0A" w:rsidP="005B1174">
            <w:pPr>
              <w:widowControl/>
              <w:jc w:val="center"/>
              <w:rPr>
                <w:rFonts w:asciiTheme="minorEastAsia" w:hAnsiTheme="minorEastAsia"/>
                <w:b/>
                <w:bCs/>
                <w:sz w:val="18"/>
                <w:szCs w:val="18"/>
              </w:rPr>
            </w:pPr>
            <w:r w:rsidRPr="00E957C1">
              <w:rPr>
                <w:rFonts w:asciiTheme="minorEastAsia" w:hAnsiTheme="minorEastAsia" w:cs="宋体" w:hint="eastAsia"/>
                <w:b/>
                <w:bCs/>
                <w:color w:val="000000"/>
                <w:kern w:val="0"/>
                <w:sz w:val="18"/>
                <w:szCs w:val="18"/>
              </w:rPr>
              <w:t>得分情况</w:t>
            </w:r>
          </w:p>
        </w:tc>
        <w:tc>
          <w:tcPr>
            <w:tcW w:w="599" w:type="pct"/>
            <w:vMerge w:val="restart"/>
            <w:vAlign w:val="center"/>
          </w:tcPr>
          <w:p w:rsidR="00422D0A" w:rsidRPr="00E957C1" w:rsidRDefault="00422D0A" w:rsidP="005B1174">
            <w:pPr>
              <w:widowControl/>
              <w:jc w:val="center"/>
              <w:rPr>
                <w:rFonts w:asciiTheme="minorEastAsia" w:hAnsiTheme="minorEastAsia"/>
                <w:b/>
                <w:bCs/>
                <w:sz w:val="18"/>
                <w:szCs w:val="18"/>
              </w:rPr>
            </w:pPr>
            <w:r w:rsidRPr="00E957C1">
              <w:rPr>
                <w:rFonts w:asciiTheme="minorEastAsia" w:hAnsiTheme="minorEastAsia" w:cs="宋体" w:hint="eastAsia"/>
                <w:b/>
                <w:bCs/>
                <w:color w:val="000000"/>
                <w:kern w:val="0"/>
                <w:sz w:val="18"/>
                <w:szCs w:val="18"/>
              </w:rPr>
              <w:t>分值权重</w:t>
            </w:r>
          </w:p>
        </w:tc>
      </w:tr>
      <w:tr w:rsidR="00422D0A" w:rsidTr="005B1174">
        <w:trPr>
          <w:trHeight w:val="270"/>
          <w:jc w:val="center"/>
        </w:trPr>
        <w:tc>
          <w:tcPr>
            <w:tcW w:w="734" w:type="pct"/>
            <w:vAlign w:val="center"/>
          </w:tcPr>
          <w:p w:rsidR="00422D0A" w:rsidRPr="00E957C1" w:rsidRDefault="00422D0A" w:rsidP="005B1174">
            <w:pPr>
              <w:widowControl/>
              <w:jc w:val="center"/>
              <w:rPr>
                <w:rFonts w:asciiTheme="minorEastAsia" w:hAnsiTheme="minorEastAsia"/>
                <w:sz w:val="18"/>
                <w:szCs w:val="18"/>
              </w:rPr>
            </w:pPr>
            <w:r w:rsidRPr="00E957C1">
              <w:rPr>
                <w:rFonts w:asciiTheme="minorEastAsia" w:hAnsiTheme="minorEastAsia" w:cs="宋体" w:hint="eastAsia"/>
                <w:b/>
                <w:bCs/>
                <w:color w:val="000000"/>
                <w:kern w:val="0"/>
                <w:sz w:val="18"/>
                <w:szCs w:val="18"/>
              </w:rPr>
              <w:t>分层指标</w:t>
            </w:r>
          </w:p>
        </w:tc>
        <w:tc>
          <w:tcPr>
            <w:tcW w:w="725" w:type="pct"/>
            <w:vAlign w:val="center"/>
          </w:tcPr>
          <w:p w:rsidR="00422D0A" w:rsidRPr="00E957C1" w:rsidRDefault="00422D0A" w:rsidP="005B1174">
            <w:pPr>
              <w:widowControl/>
              <w:jc w:val="center"/>
              <w:rPr>
                <w:rFonts w:asciiTheme="minorEastAsia" w:hAnsiTheme="minorEastAsia"/>
                <w:sz w:val="18"/>
                <w:szCs w:val="18"/>
              </w:rPr>
            </w:pPr>
            <w:r w:rsidRPr="00E957C1">
              <w:rPr>
                <w:rFonts w:asciiTheme="minorEastAsia" w:hAnsiTheme="minorEastAsia" w:cs="宋体" w:hint="eastAsia"/>
                <w:b/>
                <w:bCs/>
                <w:color w:val="000000"/>
                <w:kern w:val="0"/>
                <w:sz w:val="18"/>
                <w:szCs w:val="18"/>
              </w:rPr>
              <w:t>适用范围</w:t>
            </w:r>
          </w:p>
        </w:tc>
        <w:tc>
          <w:tcPr>
            <w:tcW w:w="734" w:type="pct"/>
            <w:vAlign w:val="center"/>
          </w:tcPr>
          <w:p w:rsidR="00422D0A" w:rsidRPr="00E957C1" w:rsidRDefault="00422D0A" w:rsidP="005B1174">
            <w:pPr>
              <w:widowControl/>
              <w:jc w:val="center"/>
              <w:rPr>
                <w:rFonts w:asciiTheme="minorEastAsia" w:hAnsiTheme="minorEastAsia"/>
                <w:sz w:val="18"/>
                <w:szCs w:val="18"/>
              </w:rPr>
            </w:pPr>
            <w:r w:rsidRPr="00E957C1">
              <w:rPr>
                <w:rFonts w:asciiTheme="minorEastAsia" w:hAnsiTheme="minorEastAsia" w:cs="宋体" w:hint="eastAsia"/>
                <w:b/>
                <w:bCs/>
                <w:color w:val="000000"/>
                <w:kern w:val="0"/>
                <w:sz w:val="18"/>
                <w:szCs w:val="18"/>
              </w:rPr>
              <w:t>一级指标</w:t>
            </w:r>
          </w:p>
        </w:tc>
        <w:tc>
          <w:tcPr>
            <w:tcW w:w="1173" w:type="pct"/>
            <w:vAlign w:val="center"/>
          </w:tcPr>
          <w:p w:rsidR="00422D0A" w:rsidRPr="00E957C1" w:rsidRDefault="00422D0A" w:rsidP="005B1174">
            <w:pPr>
              <w:widowControl/>
              <w:jc w:val="center"/>
              <w:rPr>
                <w:rFonts w:asciiTheme="minorEastAsia" w:hAnsiTheme="minorEastAsia"/>
                <w:sz w:val="18"/>
                <w:szCs w:val="18"/>
              </w:rPr>
            </w:pPr>
            <w:r w:rsidRPr="00E957C1">
              <w:rPr>
                <w:rFonts w:asciiTheme="minorEastAsia" w:hAnsiTheme="minorEastAsia" w:cs="宋体" w:hint="eastAsia"/>
                <w:b/>
                <w:bCs/>
                <w:color w:val="000000"/>
                <w:kern w:val="0"/>
                <w:sz w:val="18"/>
                <w:szCs w:val="18"/>
              </w:rPr>
              <w:t>二级指标</w:t>
            </w:r>
          </w:p>
        </w:tc>
        <w:tc>
          <w:tcPr>
            <w:tcW w:w="1035" w:type="pct"/>
            <w:vMerge/>
            <w:vAlign w:val="center"/>
          </w:tcPr>
          <w:p w:rsidR="00422D0A" w:rsidRPr="00E957C1" w:rsidRDefault="00422D0A" w:rsidP="005B1174">
            <w:pPr>
              <w:widowControl/>
              <w:jc w:val="left"/>
              <w:rPr>
                <w:rFonts w:asciiTheme="minorEastAsia" w:hAnsiTheme="minorEastAsia"/>
                <w:sz w:val="18"/>
                <w:szCs w:val="18"/>
              </w:rPr>
            </w:pPr>
          </w:p>
        </w:tc>
        <w:tc>
          <w:tcPr>
            <w:tcW w:w="599" w:type="pct"/>
            <w:vMerge/>
            <w:vAlign w:val="center"/>
          </w:tcPr>
          <w:p w:rsidR="00422D0A" w:rsidRPr="00E957C1" w:rsidRDefault="00422D0A" w:rsidP="005B1174">
            <w:pPr>
              <w:widowControl/>
              <w:jc w:val="left"/>
              <w:rPr>
                <w:rFonts w:asciiTheme="minorEastAsia" w:hAnsiTheme="minorEastAsia"/>
                <w:kern w:val="0"/>
                <w:sz w:val="18"/>
                <w:szCs w:val="18"/>
              </w:rPr>
            </w:pPr>
          </w:p>
        </w:tc>
      </w:tr>
      <w:tr w:rsidR="00422D0A" w:rsidTr="005B1174">
        <w:trPr>
          <w:trHeight w:val="270"/>
          <w:jc w:val="center"/>
        </w:trPr>
        <w:tc>
          <w:tcPr>
            <w:tcW w:w="734" w:type="pct"/>
            <w:vMerge w:val="restar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通用指标</w:t>
            </w:r>
          </w:p>
        </w:tc>
        <w:tc>
          <w:tcPr>
            <w:tcW w:w="725" w:type="pct"/>
            <w:vMerge w:val="restar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所有预算项目</w:t>
            </w:r>
          </w:p>
        </w:tc>
        <w:tc>
          <w:tcPr>
            <w:tcW w:w="734" w:type="pct"/>
            <w:vMerge w:val="restar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项目决策</w:t>
            </w: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程序严密</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3</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3%</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规划合理★</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5</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5%</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制度完备</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4</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4%</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restar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项目实施</w:t>
            </w: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分配合理★</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5</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5%</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使用合规</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4</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4%</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执行有效</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2</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2%</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restar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完成结果</w:t>
            </w: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预算完成★</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4.07</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5%</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目标完成★</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5</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5%</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完成及时</w:t>
            </w:r>
          </w:p>
        </w:tc>
        <w:tc>
          <w:tcPr>
            <w:tcW w:w="1035" w:type="pct"/>
            <w:vAlign w:val="center"/>
          </w:tcPr>
          <w:p w:rsidR="00422D0A" w:rsidRPr="00E26D7B" w:rsidRDefault="00422D0A" w:rsidP="005B1174">
            <w:pPr>
              <w:widowControl/>
              <w:jc w:val="center"/>
              <w:rPr>
                <w:rFonts w:asciiTheme="minorEastAsia" w:hAnsiTheme="minorEastAsia" w:cs="宋体"/>
                <w:color w:val="000000"/>
                <w:kern w:val="0"/>
                <w:sz w:val="18"/>
                <w:szCs w:val="18"/>
              </w:rPr>
            </w:pPr>
            <w:r w:rsidRPr="00E26D7B">
              <w:rPr>
                <w:rFonts w:asciiTheme="minorEastAsia" w:hAnsiTheme="minorEastAsia" w:cs="宋体" w:hint="eastAsia"/>
                <w:color w:val="000000"/>
                <w:kern w:val="0"/>
                <w:sz w:val="18"/>
                <w:szCs w:val="18"/>
              </w:rPr>
              <w:t>2.51</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5%</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违规记录</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2</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2%</w:t>
            </w:r>
          </w:p>
        </w:tc>
      </w:tr>
      <w:tr w:rsidR="00422D0A" w:rsidTr="005B1174">
        <w:trPr>
          <w:trHeight w:val="270"/>
          <w:jc w:val="center"/>
        </w:trPr>
        <w:tc>
          <w:tcPr>
            <w:tcW w:w="734" w:type="pct"/>
            <w:vMerge w:val="restar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共性指标</w:t>
            </w: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restar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项目效果</w:t>
            </w: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功能性★</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10</w:t>
            </w:r>
          </w:p>
        </w:tc>
        <w:tc>
          <w:tcPr>
            <w:tcW w:w="599" w:type="pct"/>
            <w:vMerge w:val="restar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20%</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配套性★</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10</w:t>
            </w:r>
          </w:p>
        </w:tc>
        <w:tc>
          <w:tcPr>
            <w:tcW w:w="599" w:type="pct"/>
            <w:vMerge/>
            <w:vAlign w:val="center"/>
          </w:tcPr>
          <w:p w:rsidR="00422D0A" w:rsidRPr="00E26D7B" w:rsidRDefault="00422D0A" w:rsidP="005B1174">
            <w:pPr>
              <w:widowControl/>
              <w:jc w:val="left"/>
              <w:rPr>
                <w:rFonts w:asciiTheme="minorEastAsia" w:hAnsiTheme="minorEastAsia"/>
                <w:kern w:val="0"/>
                <w:sz w:val="18"/>
                <w:szCs w:val="18"/>
              </w:rPr>
            </w:pPr>
          </w:p>
        </w:tc>
      </w:tr>
      <w:tr w:rsidR="00422D0A" w:rsidTr="005B1174">
        <w:trPr>
          <w:trHeight w:val="270"/>
          <w:jc w:val="center"/>
        </w:trPr>
        <w:tc>
          <w:tcPr>
            <w:tcW w:w="734" w:type="pct"/>
            <w:vMerge w:val="restar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lastRenderedPageBreak/>
              <w:t>特性指标</w:t>
            </w: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完成质量</w:t>
            </w: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质量达标</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hint="eastAsia"/>
                <w:sz w:val="18"/>
                <w:szCs w:val="18"/>
              </w:rPr>
              <w:t>1</w:t>
            </w:r>
            <w:r>
              <w:rPr>
                <w:rFonts w:asciiTheme="minorEastAsia" w:hAnsiTheme="minorEastAsia"/>
                <w:sz w:val="18"/>
                <w:szCs w:val="18"/>
              </w:rPr>
              <w:t>0</w:t>
            </w:r>
          </w:p>
        </w:tc>
        <w:tc>
          <w:tcPr>
            <w:tcW w:w="599" w:type="pct"/>
            <w:vMerge w:val="restar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30%</w:t>
            </w:r>
          </w:p>
        </w:tc>
      </w:tr>
      <w:tr w:rsidR="00422D0A" w:rsidTr="005B1174">
        <w:trPr>
          <w:trHeight w:val="270"/>
          <w:jc w:val="center"/>
        </w:trPr>
        <w:tc>
          <w:tcPr>
            <w:tcW w:w="734" w:type="pct"/>
            <w:vMerge/>
            <w:vAlign w:val="center"/>
          </w:tcPr>
          <w:p w:rsidR="00422D0A" w:rsidRPr="00E26D7B" w:rsidRDefault="00422D0A" w:rsidP="005B1174">
            <w:pPr>
              <w:widowControl/>
              <w:jc w:val="left"/>
              <w:rPr>
                <w:rFonts w:asciiTheme="minorEastAsia" w:hAnsiTheme="minorEastAsia"/>
                <w:sz w:val="18"/>
                <w:szCs w:val="18"/>
              </w:rPr>
            </w:pPr>
          </w:p>
        </w:tc>
        <w:tc>
          <w:tcPr>
            <w:tcW w:w="725" w:type="pct"/>
            <w:vMerge/>
            <w:vAlign w:val="center"/>
          </w:tcPr>
          <w:p w:rsidR="00422D0A" w:rsidRPr="00E26D7B" w:rsidRDefault="00422D0A" w:rsidP="005B1174">
            <w:pPr>
              <w:widowControl/>
              <w:jc w:val="left"/>
              <w:rPr>
                <w:rFonts w:asciiTheme="minorEastAsia" w:hAnsiTheme="minorEastAsia"/>
                <w:sz w:val="18"/>
                <w:szCs w:val="18"/>
              </w:rPr>
            </w:pPr>
          </w:p>
        </w:tc>
        <w:tc>
          <w:tcPr>
            <w:tcW w:w="734"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社会效益</w:t>
            </w: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运行效率</w:t>
            </w:r>
          </w:p>
        </w:tc>
        <w:tc>
          <w:tcPr>
            <w:tcW w:w="1035"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hint="eastAsia"/>
                <w:sz w:val="18"/>
                <w:szCs w:val="18"/>
              </w:rPr>
              <w:t>1</w:t>
            </w:r>
            <w:r>
              <w:rPr>
                <w:rFonts w:asciiTheme="minorEastAsia" w:hAnsiTheme="minorEastAsia"/>
                <w:sz w:val="18"/>
                <w:szCs w:val="18"/>
              </w:rPr>
              <w:t>0</w:t>
            </w:r>
          </w:p>
        </w:tc>
        <w:tc>
          <w:tcPr>
            <w:tcW w:w="599" w:type="pct"/>
            <w:vMerge/>
            <w:vAlign w:val="center"/>
          </w:tcPr>
          <w:p w:rsidR="00422D0A" w:rsidRPr="00E26D7B" w:rsidRDefault="00422D0A" w:rsidP="005B1174">
            <w:pPr>
              <w:widowControl/>
              <w:jc w:val="left"/>
              <w:rPr>
                <w:rFonts w:asciiTheme="minorEastAsia" w:hAnsiTheme="minorEastAsia"/>
                <w:kern w:val="0"/>
                <w:sz w:val="18"/>
                <w:szCs w:val="18"/>
              </w:rPr>
            </w:pPr>
          </w:p>
        </w:tc>
      </w:tr>
      <w:tr w:rsidR="00422D0A" w:rsidTr="005B1174">
        <w:trPr>
          <w:trHeight w:val="270"/>
          <w:jc w:val="center"/>
        </w:trPr>
        <w:tc>
          <w:tcPr>
            <w:tcW w:w="1459" w:type="pct"/>
            <w:gridSpan w:val="2"/>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个性指标</w:t>
            </w:r>
          </w:p>
        </w:tc>
        <w:tc>
          <w:tcPr>
            <w:tcW w:w="734"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color w:val="000000"/>
                <w:kern w:val="0"/>
                <w:sz w:val="18"/>
                <w:szCs w:val="18"/>
              </w:rPr>
              <w:t>社会效益</w:t>
            </w:r>
          </w:p>
        </w:tc>
        <w:tc>
          <w:tcPr>
            <w:tcW w:w="1173" w:type="pct"/>
            <w:vAlign w:val="center"/>
          </w:tcPr>
          <w:p w:rsidR="00422D0A" w:rsidRPr="00E26D7B" w:rsidRDefault="00422D0A" w:rsidP="005B1174">
            <w:pPr>
              <w:widowControl/>
              <w:jc w:val="center"/>
              <w:rPr>
                <w:rFonts w:asciiTheme="minorEastAsia" w:hAnsiTheme="minorEastAsia"/>
                <w:sz w:val="18"/>
                <w:szCs w:val="18"/>
              </w:rPr>
            </w:pPr>
            <w:r w:rsidRPr="00E26D7B">
              <w:rPr>
                <w:rFonts w:asciiTheme="minorEastAsia" w:hAnsiTheme="minorEastAsia" w:cs="宋体" w:hint="eastAsia"/>
                <w:kern w:val="0"/>
                <w:sz w:val="18"/>
                <w:szCs w:val="18"/>
              </w:rPr>
              <w:t>社会满意度</w:t>
            </w:r>
          </w:p>
        </w:tc>
        <w:tc>
          <w:tcPr>
            <w:tcW w:w="1035" w:type="pct"/>
            <w:vAlign w:val="center"/>
          </w:tcPr>
          <w:p w:rsidR="00422D0A" w:rsidRPr="00E26D7B" w:rsidRDefault="00422D0A" w:rsidP="005B1174">
            <w:pPr>
              <w:widowControl/>
              <w:jc w:val="center"/>
              <w:rPr>
                <w:rFonts w:asciiTheme="minorEastAsia" w:hAnsiTheme="minorEastAsia"/>
                <w:sz w:val="18"/>
                <w:szCs w:val="18"/>
              </w:rPr>
            </w:pPr>
            <w:r>
              <w:rPr>
                <w:rFonts w:asciiTheme="minorEastAsia" w:hAnsiTheme="minorEastAsia"/>
                <w:sz w:val="18"/>
                <w:szCs w:val="18"/>
              </w:rPr>
              <w:t>5</w:t>
            </w:r>
          </w:p>
        </w:tc>
        <w:tc>
          <w:tcPr>
            <w:tcW w:w="599" w:type="pct"/>
            <w:vAlign w:val="center"/>
          </w:tcPr>
          <w:p w:rsidR="00422D0A" w:rsidRPr="00E26D7B" w:rsidRDefault="00422D0A" w:rsidP="005B1174">
            <w:pPr>
              <w:widowControl/>
              <w:jc w:val="center"/>
              <w:rPr>
                <w:rFonts w:asciiTheme="minorEastAsia" w:hAnsiTheme="minorEastAsia"/>
                <w:kern w:val="0"/>
                <w:sz w:val="18"/>
                <w:szCs w:val="18"/>
              </w:rPr>
            </w:pPr>
            <w:r w:rsidRPr="00E26D7B">
              <w:rPr>
                <w:rFonts w:asciiTheme="minorEastAsia" w:hAnsiTheme="minorEastAsia" w:cs="宋体" w:hint="eastAsia"/>
                <w:color w:val="000000"/>
                <w:kern w:val="0"/>
                <w:sz w:val="18"/>
                <w:szCs w:val="18"/>
              </w:rPr>
              <w:t>10%</w:t>
            </w:r>
          </w:p>
        </w:tc>
      </w:tr>
      <w:tr w:rsidR="00422D0A" w:rsidTr="005B1174">
        <w:trPr>
          <w:trHeight w:val="270"/>
          <w:jc w:val="center"/>
        </w:trPr>
        <w:tc>
          <w:tcPr>
            <w:tcW w:w="3366" w:type="pct"/>
            <w:gridSpan w:val="4"/>
            <w:vAlign w:val="center"/>
          </w:tcPr>
          <w:p w:rsidR="00422D0A" w:rsidRPr="00E957C1" w:rsidRDefault="00422D0A" w:rsidP="005B1174">
            <w:pPr>
              <w:widowControl/>
              <w:jc w:val="center"/>
              <w:rPr>
                <w:rFonts w:asciiTheme="minorEastAsia" w:hAnsiTheme="minorEastAsia"/>
                <w:sz w:val="18"/>
                <w:szCs w:val="18"/>
              </w:rPr>
            </w:pPr>
            <w:r w:rsidRPr="00E957C1">
              <w:rPr>
                <w:rFonts w:asciiTheme="minorEastAsia" w:hAnsiTheme="minorEastAsia" w:cs="宋体" w:hint="eastAsia"/>
                <w:b/>
                <w:bCs/>
                <w:color w:val="000000"/>
                <w:kern w:val="0"/>
                <w:sz w:val="18"/>
                <w:szCs w:val="18"/>
              </w:rPr>
              <w:t>最终得分</w:t>
            </w:r>
          </w:p>
        </w:tc>
        <w:tc>
          <w:tcPr>
            <w:tcW w:w="1035" w:type="pct"/>
            <w:vAlign w:val="center"/>
          </w:tcPr>
          <w:p w:rsidR="00422D0A" w:rsidRPr="001D2442" w:rsidRDefault="00422D0A" w:rsidP="005B1174">
            <w:pPr>
              <w:widowControl/>
              <w:jc w:val="center"/>
              <w:rPr>
                <w:rFonts w:asciiTheme="minorEastAsia" w:hAnsiTheme="minorEastAsia"/>
                <w:b/>
                <w:bCs/>
                <w:sz w:val="18"/>
                <w:szCs w:val="18"/>
              </w:rPr>
            </w:pPr>
            <w:r w:rsidRPr="001D2442">
              <w:rPr>
                <w:rFonts w:asciiTheme="minorEastAsia" w:hAnsiTheme="minorEastAsia" w:cs="宋体" w:hint="eastAsia"/>
                <w:b/>
                <w:bCs/>
                <w:color w:val="000000"/>
                <w:kern w:val="0"/>
                <w:sz w:val="18"/>
                <w:szCs w:val="18"/>
              </w:rPr>
              <w:t>81.58</w:t>
            </w:r>
          </w:p>
        </w:tc>
        <w:tc>
          <w:tcPr>
            <w:tcW w:w="599" w:type="pct"/>
            <w:vAlign w:val="center"/>
          </w:tcPr>
          <w:p w:rsidR="00422D0A" w:rsidRPr="00E957C1" w:rsidRDefault="00422D0A" w:rsidP="005B1174">
            <w:pPr>
              <w:widowControl/>
              <w:jc w:val="center"/>
              <w:rPr>
                <w:rFonts w:asciiTheme="minorEastAsia" w:hAnsiTheme="minorEastAsia"/>
                <w:kern w:val="0"/>
                <w:sz w:val="18"/>
                <w:szCs w:val="18"/>
              </w:rPr>
            </w:pPr>
            <w:r w:rsidRPr="00E957C1">
              <w:rPr>
                <w:rFonts w:asciiTheme="minorEastAsia" w:hAnsiTheme="minorEastAsia" w:cs="宋体" w:hint="eastAsia"/>
                <w:b/>
                <w:bCs/>
                <w:color w:val="000000"/>
                <w:kern w:val="0"/>
                <w:sz w:val="18"/>
                <w:szCs w:val="18"/>
              </w:rPr>
              <w:t>100%</w:t>
            </w:r>
          </w:p>
        </w:tc>
      </w:tr>
    </w:tbl>
    <w:p w:rsidR="00422D0A" w:rsidRPr="00422D0A" w:rsidRDefault="00422D0A" w:rsidP="00422D0A">
      <w:pPr>
        <w:pStyle w:val="1"/>
        <w:rPr>
          <w:rFonts w:ascii="仿宋" w:eastAsia="仿宋" w:hAnsi="仿宋"/>
          <w:sz w:val="28"/>
        </w:rPr>
      </w:pPr>
      <w:bookmarkStart w:id="40" w:name="_Toc124325865"/>
      <w:r w:rsidRPr="00422D0A">
        <w:rPr>
          <w:rFonts w:ascii="仿宋" w:eastAsia="仿宋" w:hAnsi="仿宋" w:hint="eastAsia"/>
          <w:sz w:val="28"/>
        </w:rPr>
        <w:t>五</w:t>
      </w:r>
      <w:r w:rsidRPr="00422D0A">
        <w:rPr>
          <w:rFonts w:ascii="仿宋" w:eastAsia="仿宋" w:hAnsi="仿宋"/>
          <w:sz w:val="28"/>
        </w:rPr>
        <w:t>、存在主要问题</w:t>
      </w:r>
      <w:bookmarkEnd w:id="40"/>
    </w:p>
    <w:p w:rsidR="00422D0A" w:rsidRPr="00422D0A" w:rsidRDefault="00422D0A" w:rsidP="00422D0A">
      <w:pPr>
        <w:pStyle w:val="2"/>
        <w:ind w:firstLineChars="200" w:firstLine="562"/>
        <w:rPr>
          <w:rFonts w:ascii="仿宋" w:eastAsia="仿宋" w:hAnsi="仿宋"/>
          <w:sz w:val="28"/>
          <w:szCs w:val="28"/>
          <w:lang w:eastAsia="zh-CN"/>
        </w:rPr>
      </w:pPr>
      <w:bookmarkStart w:id="41" w:name="_Toc118666494"/>
      <w:r w:rsidRPr="00422D0A">
        <w:rPr>
          <w:rFonts w:ascii="仿宋" w:eastAsia="仿宋" w:hAnsi="仿宋" w:hint="eastAsia"/>
          <w:sz w:val="28"/>
          <w:szCs w:val="28"/>
          <w:lang w:eastAsia="zh-CN"/>
        </w:rPr>
        <w:t>项目实施资金结余率过高</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2022年仓顶阳关工程项目财政资金预算数275</w:t>
      </w:r>
      <w:r w:rsidRPr="00422D0A">
        <w:rPr>
          <w:rFonts w:ascii="仿宋" w:eastAsia="仿宋" w:hAnsi="仿宋" w:cs="仿宋"/>
          <w:sz w:val="28"/>
          <w:szCs w:val="28"/>
        </w:rPr>
        <w:t>.00</w:t>
      </w:r>
      <w:r w:rsidRPr="00422D0A">
        <w:rPr>
          <w:rFonts w:ascii="仿宋" w:eastAsia="仿宋" w:hAnsi="仿宋" w:cs="仿宋" w:hint="eastAsia"/>
          <w:sz w:val="28"/>
          <w:szCs w:val="28"/>
        </w:rPr>
        <w:t>万元，实际到位资金275</w:t>
      </w:r>
      <w:r w:rsidRPr="00422D0A">
        <w:rPr>
          <w:rFonts w:ascii="仿宋" w:eastAsia="仿宋" w:hAnsi="仿宋" w:cs="仿宋"/>
          <w:sz w:val="28"/>
          <w:szCs w:val="28"/>
        </w:rPr>
        <w:t>.00</w:t>
      </w:r>
      <w:r w:rsidRPr="00422D0A">
        <w:rPr>
          <w:rFonts w:ascii="仿宋" w:eastAsia="仿宋" w:hAnsi="仿宋" w:cs="仿宋" w:hint="eastAsia"/>
          <w:sz w:val="28"/>
          <w:szCs w:val="28"/>
        </w:rPr>
        <w:t>万元; 累计支出</w:t>
      </w:r>
      <w:r w:rsidRPr="00422D0A">
        <w:rPr>
          <w:rFonts w:ascii="仿宋" w:eastAsia="仿宋" w:hAnsi="仿宋" w:cs="仿宋_GB2312" w:hint="eastAsia"/>
          <w:bCs/>
          <w:sz w:val="28"/>
          <w:szCs w:val="28"/>
        </w:rPr>
        <w:t>179.93</w:t>
      </w:r>
      <w:r w:rsidRPr="00422D0A">
        <w:rPr>
          <w:rFonts w:ascii="仿宋" w:eastAsia="仿宋" w:hAnsi="仿宋" w:cs="仿宋" w:hint="eastAsia"/>
          <w:sz w:val="28"/>
          <w:szCs w:val="28"/>
        </w:rPr>
        <w:t>万元，结余95.07万元。结余结转率为34.57%。</w:t>
      </w:r>
    </w:p>
    <w:p w:rsidR="00422D0A" w:rsidRPr="00422D0A" w:rsidRDefault="00422D0A" w:rsidP="00422D0A">
      <w:pPr>
        <w:pStyle w:val="1"/>
        <w:rPr>
          <w:rFonts w:ascii="仿宋" w:eastAsia="仿宋" w:hAnsi="仿宋"/>
          <w:sz w:val="28"/>
          <w:lang w:eastAsia="zh-CN"/>
        </w:rPr>
      </w:pPr>
      <w:bookmarkStart w:id="42" w:name="_Toc124325868"/>
      <w:r w:rsidRPr="00422D0A">
        <w:rPr>
          <w:rFonts w:ascii="仿宋" w:eastAsia="仿宋" w:hAnsi="仿宋" w:hint="eastAsia"/>
          <w:sz w:val="28"/>
          <w:lang w:eastAsia="zh-CN"/>
        </w:rPr>
        <w:t>六、</w:t>
      </w:r>
      <w:r w:rsidRPr="00422D0A">
        <w:rPr>
          <w:rFonts w:ascii="仿宋" w:eastAsia="仿宋" w:hAnsi="仿宋"/>
          <w:sz w:val="28"/>
          <w:lang w:eastAsia="zh-CN"/>
        </w:rPr>
        <w:t>相关措施建议</w:t>
      </w:r>
      <w:bookmarkEnd w:id="41"/>
      <w:bookmarkEnd w:id="42"/>
    </w:p>
    <w:p w:rsidR="00422D0A" w:rsidRPr="00422D0A" w:rsidRDefault="00422D0A" w:rsidP="00422D0A">
      <w:pPr>
        <w:adjustRightInd w:val="0"/>
        <w:snapToGrid w:val="0"/>
        <w:spacing w:line="578" w:lineRule="exact"/>
        <w:ind w:firstLineChars="200" w:firstLine="562"/>
        <w:rPr>
          <w:rFonts w:ascii="仿宋" w:eastAsia="仿宋" w:hAnsi="仿宋" w:cstheme="majorBidi"/>
          <w:b/>
          <w:bCs/>
          <w:color w:val="000000" w:themeColor="text1"/>
          <w:kern w:val="0"/>
          <w:sz w:val="28"/>
          <w:szCs w:val="28"/>
          <w:lang w:bidi="en-US"/>
        </w:rPr>
      </w:pPr>
      <w:r w:rsidRPr="00422D0A">
        <w:rPr>
          <w:rFonts w:ascii="仿宋" w:eastAsia="仿宋" w:hAnsi="仿宋" w:cstheme="majorBidi" w:hint="eastAsia"/>
          <w:b/>
          <w:bCs/>
          <w:color w:val="000000" w:themeColor="text1"/>
          <w:kern w:val="0"/>
          <w:sz w:val="28"/>
          <w:szCs w:val="28"/>
          <w:lang w:bidi="en-US"/>
        </w:rPr>
        <w:t>提高预算执行，加快建设项目</w:t>
      </w:r>
    </w:p>
    <w:p w:rsidR="00422D0A" w:rsidRPr="00422D0A" w:rsidRDefault="00422D0A" w:rsidP="00422D0A">
      <w:pPr>
        <w:adjustRightInd w:val="0"/>
        <w:snapToGrid w:val="0"/>
        <w:spacing w:line="578" w:lineRule="exact"/>
        <w:ind w:firstLineChars="200" w:firstLine="560"/>
        <w:rPr>
          <w:rFonts w:ascii="仿宋" w:eastAsia="仿宋" w:hAnsi="仿宋" w:cs="仿宋"/>
          <w:sz w:val="28"/>
          <w:szCs w:val="28"/>
        </w:rPr>
      </w:pPr>
      <w:r w:rsidRPr="00422D0A">
        <w:rPr>
          <w:rFonts w:ascii="仿宋" w:eastAsia="仿宋" w:hAnsi="仿宋" w:cs="仿宋" w:hint="eastAsia"/>
          <w:sz w:val="28"/>
          <w:szCs w:val="28"/>
        </w:rPr>
        <w:t>建议督促施工单位加快施工进度，及时解决、沟通、汇报项目进展困难问题，确保财政资金支出的效益性。</w:t>
      </w:r>
    </w:p>
    <w:p w:rsidR="00D55CE5" w:rsidRDefault="00D55CE5" w:rsidP="00D55CE5">
      <w:pPr>
        <w:spacing w:line="520" w:lineRule="exact"/>
        <w:ind w:firstLineChars="200" w:firstLine="560"/>
        <w:rPr>
          <w:rFonts w:ascii="仿宋" w:eastAsia="仿宋" w:hAnsi="仿宋" w:cs="仿宋"/>
          <w:sz w:val="28"/>
          <w:szCs w:val="28"/>
        </w:rPr>
      </w:pPr>
    </w:p>
    <w:p w:rsidR="00D55CE5" w:rsidRDefault="00D55CE5" w:rsidP="00D55CE5">
      <w:pPr>
        <w:jc w:val="center"/>
        <w:rPr>
          <w:rFonts w:ascii="仿宋" w:eastAsia="仿宋" w:hAnsi="仿宋" w:cs="仿宋"/>
          <w:b/>
          <w:bCs/>
          <w:sz w:val="36"/>
          <w:szCs w:val="44"/>
        </w:rPr>
      </w:pPr>
    </w:p>
    <w:p w:rsidR="00D55CE5" w:rsidRDefault="00D55CE5" w:rsidP="00D55CE5">
      <w:pPr>
        <w:jc w:val="center"/>
        <w:rPr>
          <w:rFonts w:ascii="仿宋" w:eastAsia="仿宋" w:hAnsi="仿宋" w:cs="仿宋"/>
          <w:b/>
          <w:bCs/>
          <w:sz w:val="36"/>
          <w:szCs w:val="44"/>
        </w:rPr>
      </w:pPr>
    </w:p>
    <w:p w:rsidR="00D55CE5" w:rsidRPr="00D55CE5" w:rsidRDefault="00D55CE5" w:rsidP="00D55CE5">
      <w:pPr>
        <w:jc w:val="right"/>
        <w:rPr>
          <w:rFonts w:ascii="仿宋" w:eastAsia="仿宋" w:hAnsi="仿宋" w:cs="仿宋"/>
          <w:sz w:val="28"/>
          <w:szCs w:val="28"/>
        </w:rPr>
      </w:pPr>
      <w:r w:rsidRPr="00D55CE5">
        <w:rPr>
          <w:rFonts w:ascii="仿宋" w:eastAsia="仿宋" w:hAnsi="仿宋" w:cs="仿宋" w:hint="eastAsia"/>
          <w:sz w:val="28"/>
          <w:szCs w:val="28"/>
        </w:rPr>
        <w:t>二0二</w:t>
      </w:r>
      <w:r w:rsidR="00422D0A">
        <w:rPr>
          <w:rFonts w:ascii="仿宋" w:eastAsia="仿宋" w:hAnsi="仿宋" w:cs="仿宋" w:hint="eastAsia"/>
          <w:sz w:val="28"/>
          <w:szCs w:val="28"/>
        </w:rPr>
        <w:t>四</w:t>
      </w:r>
      <w:r w:rsidR="002427EA">
        <w:rPr>
          <w:rFonts w:ascii="仿宋" w:eastAsia="仿宋" w:hAnsi="仿宋" w:cs="仿宋" w:hint="eastAsia"/>
          <w:sz w:val="28"/>
          <w:szCs w:val="28"/>
        </w:rPr>
        <w:t>年二</w:t>
      </w:r>
      <w:r w:rsidRPr="00D55CE5">
        <w:rPr>
          <w:rFonts w:ascii="仿宋" w:eastAsia="仿宋" w:hAnsi="仿宋" w:cs="仿宋" w:hint="eastAsia"/>
          <w:sz w:val="28"/>
          <w:szCs w:val="28"/>
        </w:rPr>
        <w:t>月二十日</w:t>
      </w:r>
    </w:p>
    <w:sectPr w:rsidR="00D55CE5" w:rsidRPr="00D55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471A9"/>
    <w:multiLevelType w:val="singleLevel"/>
    <w:tmpl w:val="5B7ADD8D"/>
    <w:lvl w:ilvl="0">
      <w:start w:val="1"/>
      <w:numFmt w:val="chineseCounting"/>
      <w:suff w:val="nothing"/>
      <w:lvlText w:val="%1、"/>
      <w:lvlJc w:val="left"/>
    </w:lvl>
  </w:abstractNum>
  <w:abstractNum w:abstractNumId="1">
    <w:nsid w:val="5B7ADD8D"/>
    <w:multiLevelType w:val="singleLevel"/>
    <w:tmpl w:val="5B7ADD8D"/>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E5"/>
    <w:rsid w:val="002427EA"/>
    <w:rsid w:val="00422D0A"/>
    <w:rsid w:val="00625109"/>
    <w:rsid w:val="00AA0889"/>
    <w:rsid w:val="00D55CE5"/>
    <w:rsid w:val="00EE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9"/>
    <w:qFormat/>
    <w:rsid w:val="00422D0A"/>
    <w:pPr>
      <w:keepNext/>
      <w:keepLines/>
      <w:widowControl/>
      <w:jc w:val="left"/>
      <w:outlineLvl w:val="0"/>
    </w:pPr>
    <w:rPr>
      <w:rFonts w:asciiTheme="majorHAnsi" w:eastAsia="黑体" w:hAnsiTheme="majorHAnsi" w:cstheme="majorBidi"/>
      <w:b/>
      <w:bCs/>
      <w:color w:val="000000" w:themeColor="text1"/>
      <w:kern w:val="0"/>
      <w:sz w:val="36"/>
      <w:szCs w:val="28"/>
      <w:lang w:eastAsia="en-US" w:bidi="en-US"/>
    </w:rPr>
  </w:style>
  <w:style w:type="paragraph" w:styleId="2">
    <w:name w:val="heading 2"/>
    <w:basedOn w:val="a"/>
    <w:next w:val="a"/>
    <w:link w:val="2Char"/>
    <w:uiPriority w:val="99"/>
    <w:unhideWhenUsed/>
    <w:qFormat/>
    <w:rsid w:val="00422D0A"/>
    <w:pPr>
      <w:keepNext/>
      <w:keepLines/>
      <w:widowControl/>
      <w:jc w:val="left"/>
      <w:outlineLvl w:val="1"/>
    </w:pPr>
    <w:rPr>
      <w:rFonts w:asciiTheme="majorHAnsi" w:eastAsia="Adobe 楷体 Std R" w:hAnsiTheme="majorHAnsi" w:cstheme="majorBidi"/>
      <w:b/>
      <w:bCs/>
      <w:color w:val="000000" w:themeColor="text1"/>
      <w:kern w:val="0"/>
      <w:sz w:val="32"/>
      <w:szCs w:val="26"/>
      <w:lang w:eastAsia="en-US" w:bidi="en-US"/>
    </w:rPr>
  </w:style>
  <w:style w:type="paragraph" w:styleId="3">
    <w:name w:val="heading 3"/>
    <w:basedOn w:val="a"/>
    <w:next w:val="a"/>
    <w:link w:val="3Char"/>
    <w:uiPriority w:val="9"/>
    <w:unhideWhenUsed/>
    <w:qFormat/>
    <w:rsid w:val="00422D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qFormat/>
    <w:rsid w:val="00D55CE5"/>
    <w:pPr>
      <w:ind w:leftChars="200" w:left="400" w:hangingChars="200" w:hanging="200"/>
    </w:pPr>
    <w:rPr>
      <w:rFonts w:ascii="Times New Roman" w:eastAsia="宋体" w:hAnsi="Times New Roman" w:cs="Times New Roman"/>
      <w:szCs w:val="24"/>
    </w:rPr>
  </w:style>
  <w:style w:type="character" w:customStyle="1" w:styleId="1Char">
    <w:name w:val="标题 1 Char"/>
    <w:basedOn w:val="a0"/>
    <w:link w:val="1"/>
    <w:uiPriority w:val="99"/>
    <w:qFormat/>
    <w:rsid w:val="00422D0A"/>
    <w:rPr>
      <w:rFonts w:asciiTheme="majorHAnsi" w:eastAsia="黑体" w:hAnsiTheme="majorHAnsi" w:cstheme="majorBidi"/>
      <w:b/>
      <w:bCs/>
      <w:color w:val="000000" w:themeColor="text1"/>
      <w:kern w:val="0"/>
      <w:sz w:val="36"/>
      <w:szCs w:val="28"/>
      <w:lang w:eastAsia="en-US" w:bidi="en-US"/>
    </w:rPr>
  </w:style>
  <w:style w:type="character" w:customStyle="1" w:styleId="2Char">
    <w:name w:val="标题 2 Char"/>
    <w:basedOn w:val="a0"/>
    <w:link w:val="2"/>
    <w:uiPriority w:val="99"/>
    <w:rsid w:val="00422D0A"/>
    <w:rPr>
      <w:rFonts w:asciiTheme="majorHAnsi" w:eastAsia="Adobe 楷体 Std R" w:hAnsiTheme="majorHAnsi" w:cstheme="majorBidi"/>
      <w:b/>
      <w:bCs/>
      <w:color w:val="000000" w:themeColor="text1"/>
      <w:kern w:val="0"/>
      <w:sz w:val="32"/>
      <w:szCs w:val="26"/>
      <w:lang w:eastAsia="en-US" w:bidi="en-US"/>
    </w:rPr>
  </w:style>
  <w:style w:type="character" w:customStyle="1" w:styleId="3Char">
    <w:name w:val="标题 3 Char"/>
    <w:basedOn w:val="a0"/>
    <w:link w:val="3"/>
    <w:uiPriority w:val="9"/>
    <w:rsid w:val="00422D0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9"/>
    <w:qFormat/>
    <w:rsid w:val="00422D0A"/>
    <w:pPr>
      <w:keepNext/>
      <w:keepLines/>
      <w:widowControl/>
      <w:jc w:val="left"/>
      <w:outlineLvl w:val="0"/>
    </w:pPr>
    <w:rPr>
      <w:rFonts w:asciiTheme="majorHAnsi" w:eastAsia="黑体" w:hAnsiTheme="majorHAnsi" w:cstheme="majorBidi"/>
      <w:b/>
      <w:bCs/>
      <w:color w:val="000000" w:themeColor="text1"/>
      <w:kern w:val="0"/>
      <w:sz w:val="36"/>
      <w:szCs w:val="28"/>
      <w:lang w:eastAsia="en-US" w:bidi="en-US"/>
    </w:rPr>
  </w:style>
  <w:style w:type="paragraph" w:styleId="2">
    <w:name w:val="heading 2"/>
    <w:basedOn w:val="a"/>
    <w:next w:val="a"/>
    <w:link w:val="2Char"/>
    <w:uiPriority w:val="99"/>
    <w:unhideWhenUsed/>
    <w:qFormat/>
    <w:rsid w:val="00422D0A"/>
    <w:pPr>
      <w:keepNext/>
      <w:keepLines/>
      <w:widowControl/>
      <w:jc w:val="left"/>
      <w:outlineLvl w:val="1"/>
    </w:pPr>
    <w:rPr>
      <w:rFonts w:asciiTheme="majorHAnsi" w:eastAsia="Adobe 楷体 Std R" w:hAnsiTheme="majorHAnsi" w:cstheme="majorBidi"/>
      <w:b/>
      <w:bCs/>
      <w:color w:val="000000" w:themeColor="text1"/>
      <w:kern w:val="0"/>
      <w:sz w:val="32"/>
      <w:szCs w:val="26"/>
      <w:lang w:eastAsia="en-US" w:bidi="en-US"/>
    </w:rPr>
  </w:style>
  <w:style w:type="paragraph" w:styleId="3">
    <w:name w:val="heading 3"/>
    <w:basedOn w:val="a"/>
    <w:next w:val="a"/>
    <w:link w:val="3Char"/>
    <w:uiPriority w:val="9"/>
    <w:unhideWhenUsed/>
    <w:qFormat/>
    <w:rsid w:val="00422D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qFormat/>
    <w:rsid w:val="00D55CE5"/>
    <w:pPr>
      <w:ind w:leftChars="200" w:left="400" w:hangingChars="200" w:hanging="200"/>
    </w:pPr>
    <w:rPr>
      <w:rFonts w:ascii="Times New Roman" w:eastAsia="宋体" w:hAnsi="Times New Roman" w:cs="Times New Roman"/>
      <w:szCs w:val="24"/>
    </w:rPr>
  </w:style>
  <w:style w:type="character" w:customStyle="1" w:styleId="1Char">
    <w:name w:val="标题 1 Char"/>
    <w:basedOn w:val="a0"/>
    <w:link w:val="1"/>
    <w:uiPriority w:val="99"/>
    <w:qFormat/>
    <w:rsid w:val="00422D0A"/>
    <w:rPr>
      <w:rFonts w:asciiTheme="majorHAnsi" w:eastAsia="黑体" w:hAnsiTheme="majorHAnsi" w:cstheme="majorBidi"/>
      <w:b/>
      <w:bCs/>
      <w:color w:val="000000" w:themeColor="text1"/>
      <w:kern w:val="0"/>
      <w:sz w:val="36"/>
      <w:szCs w:val="28"/>
      <w:lang w:eastAsia="en-US" w:bidi="en-US"/>
    </w:rPr>
  </w:style>
  <w:style w:type="character" w:customStyle="1" w:styleId="2Char">
    <w:name w:val="标题 2 Char"/>
    <w:basedOn w:val="a0"/>
    <w:link w:val="2"/>
    <w:uiPriority w:val="99"/>
    <w:rsid w:val="00422D0A"/>
    <w:rPr>
      <w:rFonts w:asciiTheme="majorHAnsi" w:eastAsia="Adobe 楷体 Std R" w:hAnsiTheme="majorHAnsi" w:cstheme="majorBidi"/>
      <w:b/>
      <w:bCs/>
      <w:color w:val="000000" w:themeColor="text1"/>
      <w:kern w:val="0"/>
      <w:sz w:val="32"/>
      <w:szCs w:val="26"/>
      <w:lang w:eastAsia="en-US" w:bidi="en-US"/>
    </w:rPr>
  </w:style>
  <w:style w:type="character" w:customStyle="1" w:styleId="3Char">
    <w:name w:val="标题 3 Char"/>
    <w:basedOn w:val="a0"/>
    <w:link w:val="3"/>
    <w:uiPriority w:val="9"/>
    <w:rsid w:val="00422D0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cp:lastPrinted>2023-12-08T01:16:00Z</cp:lastPrinted>
  <dcterms:created xsi:type="dcterms:W3CDTF">2024-02-19T09:42:00Z</dcterms:created>
  <dcterms:modified xsi:type="dcterms:W3CDTF">2024-02-20T01:02:00Z</dcterms:modified>
</cp:coreProperties>
</file>